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FA" w:rsidRDefault="001002FA"/>
    <w:p w:rsidR="001002FA" w:rsidRDefault="009F6ECF" w:rsidP="00175827">
      <w:pPr>
        <w:jc w:val="center"/>
      </w:pPr>
      <w:r>
        <w:rPr>
          <w:sz w:val="36"/>
          <w:szCs w:val="36"/>
        </w:rPr>
        <w:t>F</w:t>
      </w:r>
      <w:r w:rsidR="00980A89">
        <w:rPr>
          <w:sz w:val="36"/>
          <w:szCs w:val="36"/>
        </w:rPr>
        <w:t xml:space="preserve">air value accounting </w:t>
      </w:r>
      <w:r w:rsidR="00BF5D3E">
        <w:rPr>
          <w:sz w:val="36"/>
          <w:szCs w:val="36"/>
        </w:rPr>
        <w:t>for financial instruments</w:t>
      </w:r>
      <w:r w:rsidR="00980A89">
        <w:rPr>
          <w:sz w:val="36"/>
          <w:szCs w:val="36"/>
        </w:rPr>
        <w:t xml:space="preserve">: Does it improve the association between </w:t>
      </w:r>
      <w:r w:rsidR="006119C8">
        <w:rPr>
          <w:sz w:val="36"/>
          <w:szCs w:val="36"/>
        </w:rPr>
        <w:t>b</w:t>
      </w:r>
      <w:r w:rsidR="001002FA" w:rsidRPr="00E40579">
        <w:rPr>
          <w:sz w:val="36"/>
          <w:szCs w:val="36"/>
        </w:rPr>
        <w:t xml:space="preserve">ank </w:t>
      </w:r>
      <w:r w:rsidR="006119C8">
        <w:rPr>
          <w:sz w:val="36"/>
          <w:szCs w:val="36"/>
        </w:rPr>
        <w:t>l</w:t>
      </w:r>
      <w:r w:rsidR="001002FA" w:rsidRPr="00E40579">
        <w:rPr>
          <w:sz w:val="36"/>
          <w:szCs w:val="36"/>
        </w:rPr>
        <w:t xml:space="preserve">everage and </w:t>
      </w:r>
      <w:r w:rsidR="006119C8">
        <w:rPr>
          <w:sz w:val="36"/>
          <w:szCs w:val="36"/>
        </w:rPr>
        <w:t>c</w:t>
      </w:r>
      <w:r w:rsidR="001002FA" w:rsidRPr="00E40579">
        <w:rPr>
          <w:sz w:val="36"/>
          <w:szCs w:val="36"/>
        </w:rPr>
        <w:t xml:space="preserve">redit </w:t>
      </w:r>
      <w:r w:rsidR="006119C8">
        <w:rPr>
          <w:sz w:val="36"/>
          <w:szCs w:val="36"/>
        </w:rPr>
        <w:t>r</w:t>
      </w:r>
      <w:r w:rsidR="001002FA" w:rsidRPr="00E40579">
        <w:rPr>
          <w:sz w:val="36"/>
          <w:szCs w:val="36"/>
        </w:rPr>
        <w:t>isk</w:t>
      </w:r>
      <w:r w:rsidR="00980A89">
        <w:rPr>
          <w:sz w:val="36"/>
          <w:szCs w:val="36"/>
        </w:rPr>
        <w:t>?</w:t>
      </w:r>
    </w:p>
    <w:p w:rsidR="001002FA" w:rsidRDefault="001002FA" w:rsidP="00175827">
      <w:pPr>
        <w:jc w:val="center"/>
      </w:pPr>
    </w:p>
    <w:p w:rsidR="001002FA" w:rsidRDefault="001002FA" w:rsidP="00175827">
      <w:pPr>
        <w:jc w:val="center"/>
      </w:pPr>
    </w:p>
    <w:p w:rsidR="001002FA" w:rsidRDefault="001002FA" w:rsidP="00175827">
      <w:pPr>
        <w:jc w:val="center"/>
      </w:pPr>
    </w:p>
    <w:p w:rsidR="001002FA" w:rsidRDefault="001002FA" w:rsidP="00D7442D">
      <w:pPr>
        <w:jc w:val="center"/>
        <w:outlineLvl w:val="0"/>
      </w:pPr>
      <w:r>
        <w:t xml:space="preserve">Elizabeth </w:t>
      </w:r>
      <w:proofErr w:type="spellStart"/>
      <w:r>
        <w:t>Blankespoor</w:t>
      </w:r>
      <w:proofErr w:type="spellEnd"/>
    </w:p>
    <w:p w:rsidR="001002FA" w:rsidRDefault="003F209A" w:rsidP="00D7442D">
      <w:pPr>
        <w:jc w:val="center"/>
        <w:outlineLvl w:val="0"/>
      </w:pPr>
      <w:r>
        <w:t>Stanford University</w:t>
      </w:r>
    </w:p>
    <w:p w:rsidR="001002FA" w:rsidRDefault="000B0E3A" w:rsidP="00D7442D">
      <w:pPr>
        <w:jc w:val="center"/>
      </w:pPr>
      <w:hyperlink r:id="rId9" w:history="1">
        <w:r w:rsidR="006E4672" w:rsidRPr="00164160">
          <w:rPr>
            <w:rStyle w:val="Hyperlink"/>
          </w:rPr>
          <w:t>blankbe@stanford.edu</w:t>
        </w:r>
      </w:hyperlink>
    </w:p>
    <w:p w:rsidR="006E4672" w:rsidRDefault="006E4672" w:rsidP="00D7442D">
      <w:pPr>
        <w:jc w:val="center"/>
      </w:pPr>
    </w:p>
    <w:p w:rsidR="001002FA" w:rsidRDefault="001002FA" w:rsidP="00D7442D">
      <w:pPr>
        <w:jc w:val="center"/>
      </w:pPr>
      <w:r>
        <w:t>Thomas J. Linsmeier</w:t>
      </w:r>
    </w:p>
    <w:p w:rsidR="001002FA" w:rsidRDefault="001002FA" w:rsidP="00D7442D">
      <w:pPr>
        <w:jc w:val="center"/>
      </w:pPr>
      <w:r>
        <w:t>FASB</w:t>
      </w:r>
    </w:p>
    <w:p w:rsidR="006E4672" w:rsidRDefault="000B0E3A" w:rsidP="00D7442D">
      <w:pPr>
        <w:jc w:val="center"/>
      </w:pPr>
      <w:hyperlink r:id="rId10" w:history="1">
        <w:r w:rsidR="00760594" w:rsidRPr="00293A4E">
          <w:rPr>
            <w:rStyle w:val="Hyperlink"/>
          </w:rPr>
          <w:t>tjlinsmeier@fasb.org</w:t>
        </w:r>
      </w:hyperlink>
    </w:p>
    <w:p w:rsidR="001002FA" w:rsidRDefault="001002FA" w:rsidP="00D7442D">
      <w:pPr>
        <w:jc w:val="center"/>
      </w:pPr>
    </w:p>
    <w:p w:rsidR="001002FA" w:rsidRDefault="001002FA" w:rsidP="00D7442D">
      <w:pPr>
        <w:jc w:val="center"/>
      </w:pPr>
      <w:r>
        <w:t>Kathy Petroni</w:t>
      </w:r>
    </w:p>
    <w:p w:rsidR="001002FA" w:rsidRDefault="001002FA" w:rsidP="00D7442D">
      <w:pPr>
        <w:jc w:val="center"/>
      </w:pPr>
      <w:r>
        <w:t>Michigan State University</w:t>
      </w:r>
    </w:p>
    <w:p w:rsidR="006E4672" w:rsidRDefault="000B0E3A" w:rsidP="00D7442D">
      <w:pPr>
        <w:jc w:val="center"/>
      </w:pPr>
      <w:hyperlink r:id="rId11" w:history="1">
        <w:r w:rsidR="00760594" w:rsidRPr="00293A4E">
          <w:rPr>
            <w:rStyle w:val="Hyperlink"/>
          </w:rPr>
          <w:t>petroni@bus.msu.edu</w:t>
        </w:r>
      </w:hyperlink>
    </w:p>
    <w:p w:rsidR="001002FA" w:rsidRDefault="001002FA" w:rsidP="00D7442D">
      <w:pPr>
        <w:jc w:val="center"/>
      </w:pPr>
    </w:p>
    <w:p w:rsidR="001002FA" w:rsidRDefault="001002FA" w:rsidP="00D7442D">
      <w:pPr>
        <w:jc w:val="center"/>
      </w:pPr>
      <w:r>
        <w:t>Catherine Shakespeare</w:t>
      </w:r>
    </w:p>
    <w:p w:rsidR="001002FA" w:rsidRDefault="001002FA" w:rsidP="00D7442D">
      <w:pPr>
        <w:jc w:val="center"/>
      </w:pPr>
      <w:r>
        <w:t>University of Michigan</w:t>
      </w:r>
    </w:p>
    <w:p w:rsidR="006E4672" w:rsidRDefault="000B0E3A" w:rsidP="00D7442D">
      <w:pPr>
        <w:jc w:val="center"/>
      </w:pPr>
      <w:hyperlink r:id="rId12" w:history="1">
        <w:r w:rsidR="00760594" w:rsidRPr="00293A4E">
          <w:rPr>
            <w:rStyle w:val="Hyperlink"/>
          </w:rPr>
          <w:t>shakespe@umich.edu</w:t>
        </w:r>
      </w:hyperlink>
    </w:p>
    <w:p w:rsidR="00760594" w:rsidRDefault="00760594" w:rsidP="00D7442D">
      <w:pPr>
        <w:jc w:val="center"/>
      </w:pPr>
    </w:p>
    <w:p w:rsidR="001002FA" w:rsidRDefault="001002FA" w:rsidP="00175827">
      <w:pPr>
        <w:jc w:val="center"/>
      </w:pPr>
    </w:p>
    <w:p w:rsidR="001002FA" w:rsidRDefault="001002FA" w:rsidP="00175827">
      <w:pPr>
        <w:jc w:val="center"/>
      </w:pPr>
    </w:p>
    <w:p w:rsidR="001002FA" w:rsidRDefault="001002FA" w:rsidP="00175827">
      <w:pPr>
        <w:jc w:val="center"/>
      </w:pPr>
    </w:p>
    <w:p w:rsidR="001002FA" w:rsidRDefault="001002FA" w:rsidP="00175827">
      <w:pPr>
        <w:jc w:val="center"/>
      </w:pPr>
    </w:p>
    <w:p w:rsidR="001002FA" w:rsidRDefault="001002FA" w:rsidP="00175827">
      <w:pPr>
        <w:jc w:val="center"/>
      </w:pPr>
    </w:p>
    <w:p w:rsidR="001002FA" w:rsidRDefault="000B0E3A" w:rsidP="00175827">
      <w:pPr>
        <w:jc w:val="center"/>
      </w:pPr>
      <w:r>
        <w:t>February 2013</w:t>
      </w:r>
    </w:p>
    <w:p w:rsidR="001002FA" w:rsidRDefault="001002FA" w:rsidP="00175827">
      <w:pPr>
        <w:jc w:val="center"/>
      </w:pPr>
      <w:bookmarkStart w:id="0" w:name="_GoBack"/>
      <w:bookmarkEnd w:id="0"/>
    </w:p>
    <w:p w:rsidR="001002FA" w:rsidRDefault="001002FA" w:rsidP="00175827">
      <w:pPr>
        <w:jc w:val="center"/>
      </w:pPr>
    </w:p>
    <w:p w:rsidR="001002FA" w:rsidRDefault="001002FA" w:rsidP="00175827">
      <w:pPr>
        <w:jc w:val="center"/>
      </w:pPr>
    </w:p>
    <w:p w:rsidR="001002FA" w:rsidRDefault="001002FA" w:rsidP="00175827">
      <w:pPr>
        <w:jc w:val="center"/>
      </w:pPr>
    </w:p>
    <w:p w:rsidR="001002FA" w:rsidRDefault="001002FA" w:rsidP="00726161">
      <w:r w:rsidRPr="00A6510E">
        <w:t>The views expressed in this presentation are those of the authors and do not represent positions of the Financial Accounting Standards Board</w:t>
      </w:r>
      <w:r w:rsidR="00646505">
        <w:t xml:space="preserve">. </w:t>
      </w:r>
      <w:r w:rsidRPr="00A6510E">
        <w:t>Positions of the Financial Accounting Standards Board are arrived at only after extensive due process and deliberation.</w:t>
      </w:r>
      <w:r>
        <w:t xml:space="preserve"> We gratefully acknowledge </w:t>
      </w:r>
      <w:r w:rsidR="00446D04">
        <w:t xml:space="preserve">SNL Financial LC for providing </w:t>
      </w:r>
      <w:r>
        <w:t xml:space="preserve">the primary data used </w:t>
      </w:r>
      <w:r w:rsidR="00446D04">
        <w:t xml:space="preserve">in </w:t>
      </w:r>
      <w:r>
        <w:t>this research</w:t>
      </w:r>
      <w:r w:rsidR="00446D04">
        <w:t>,</w:t>
      </w:r>
      <w:r>
        <w:t xml:space="preserve"> </w:t>
      </w:r>
      <w:proofErr w:type="spellStart"/>
      <w:r w:rsidR="00446D04">
        <w:t>Charry</w:t>
      </w:r>
      <w:proofErr w:type="spellEnd"/>
      <w:r w:rsidR="00446D04">
        <w:t xml:space="preserve"> Boris</w:t>
      </w:r>
      <w:r w:rsidR="00446D04" w:rsidDel="00446D04">
        <w:t xml:space="preserve"> </w:t>
      </w:r>
      <w:r w:rsidR="00446D04">
        <w:t xml:space="preserve">for her research support, </w:t>
      </w:r>
      <w:r>
        <w:t xml:space="preserve">and </w:t>
      </w:r>
      <w:r w:rsidR="00446D04">
        <w:t>the Paton Accounting Center for</w:t>
      </w:r>
      <w:r>
        <w:t xml:space="preserve"> financial support. We also appreciate comments from </w:t>
      </w:r>
      <w:r w:rsidR="00366748">
        <w:t xml:space="preserve">Dan </w:t>
      </w:r>
      <w:proofErr w:type="spellStart"/>
      <w:r w:rsidR="00366748">
        <w:t>Amiram</w:t>
      </w:r>
      <w:proofErr w:type="spellEnd"/>
      <w:r w:rsidR="00366748">
        <w:t xml:space="preserve">, </w:t>
      </w:r>
      <w:r w:rsidR="006E6E41">
        <w:t xml:space="preserve">Bob </w:t>
      </w:r>
      <w:proofErr w:type="spellStart"/>
      <w:r w:rsidR="006E6E41">
        <w:t>Herz</w:t>
      </w:r>
      <w:proofErr w:type="spellEnd"/>
      <w:r w:rsidR="006E6E41">
        <w:t xml:space="preserve">, </w:t>
      </w:r>
      <w:r w:rsidR="006119C8">
        <w:t xml:space="preserve">Ed </w:t>
      </w:r>
      <w:proofErr w:type="spellStart"/>
      <w:r w:rsidR="006119C8">
        <w:t>Trott</w:t>
      </w:r>
      <w:proofErr w:type="spellEnd"/>
      <w:r w:rsidR="006119C8">
        <w:t xml:space="preserve"> and </w:t>
      </w:r>
      <w:r>
        <w:t xml:space="preserve">workshop participants at </w:t>
      </w:r>
      <w:r w:rsidR="00366748">
        <w:t>Florida International University,</w:t>
      </w:r>
      <w:r w:rsidR="00885C07" w:rsidRPr="00885C07">
        <w:t xml:space="preserve"> </w:t>
      </w:r>
      <w:r w:rsidR="00885C07">
        <w:t>Indiana University,</w:t>
      </w:r>
      <w:r w:rsidR="00366748">
        <w:t xml:space="preserve"> </w:t>
      </w:r>
      <w:r w:rsidR="00885C07">
        <w:t xml:space="preserve">the </w:t>
      </w:r>
      <w:proofErr w:type="spellStart"/>
      <w:r w:rsidR="00885C07">
        <w:t>Kapnick</w:t>
      </w:r>
      <w:proofErr w:type="spellEnd"/>
      <w:r w:rsidR="00885C07">
        <w:t xml:space="preserve"> Accounting Conference, </w:t>
      </w:r>
      <w:proofErr w:type="gramStart"/>
      <w:r w:rsidR="00885C07">
        <w:t>Michigan</w:t>
      </w:r>
      <w:proofErr w:type="gramEnd"/>
      <w:r w:rsidR="00885C07">
        <w:t xml:space="preserve"> State University, </w:t>
      </w:r>
      <w:r w:rsidR="00701425">
        <w:t xml:space="preserve">the </w:t>
      </w:r>
      <w:r w:rsidR="00885C07">
        <w:t xml:space="preserve">Office of the Comptroller of the Currency, Tilburg University, </w:t>
      </w:r>
      <w:r>
        <w:t xml:space="preserve">University of Georgia, University of Toronto, </w:t>
      </w:r>
      <w:r w:rsidR="00AA5B3E">
        <w:t xml:space="preserve">University of </w:t>
      </w:r>
      <w:r>
        <w:t xml:space="preserve">Washington, </w:t>
      </w:r>
      <w:r w:rsidR="00885C07">
        <w:t xml:space="preserve">and </w:t>
      </w:r>
      <w:r w:rsidR="00701425">
        <w:t xml:space="preserve">the </w:t>
      </w:r>
      <w:r w:rsidR="00A767AF">
        <w:t xml:space="preserve">Yale </w:t>
      </w:r>
      <w:r w:rsidR="00A531E2">
        <w:t>School of Management 2011 Summer Accounting Conference</w:t>
      </w:r>
      <w:r w:rsidR="00885C07">
        <w:t>.</w:t>
      </w:r>
      <w:r w:rsidR="00A767AF">
        <w:t xml:space="preserve"> </w:t>
      </w:r>
    </w:p>
    <w:p w:rsidR="001002FA" w:rsidRDefault="001002FA" w:rsidP="00726161"/>
    <w:p w:rsidR="00D87C7F" w:rsidRDefault="00D87C7F">
      <w:pPr>
        <w:rPr>
          <w:b/>
          <w:sz w:val="28"/>
          <w:szCs w:val="28"/>
        </w:rPr>
      </w:pPr>
      <w:r>
        <w:rPr>
          <w:b/>
          <w:sz w:val="28"/>
          <w:szCs w:val="28"/>
        </w:rPr>
        <w:br w:type="page"/>
      </w:r>
    </w:p>
    <w:p w:rsidR="00156DD8" w:rsidRPr="00AB31E5" w:rsidRDefault="00C21E23" w:rsidP="00156DD8">
      <w:pPr>
        <w:jc w:val="center"/>
        <w:rPr>
          <w:b/>
          <w:sz w:val="28"/>
          <w:szCs w:val="28"/>
        </w:rPr>
      </w:pPr>
      <w:r w:rsidRPr="00AB31E5">
        <w:rPr>
          <w:b/>
          <w:sz w:val="28"/>
          <w:szCs w:val="28"/>
        </w:rPr>
        <w:lastRenderedPageBreak/>
        <w:t>Fair value accounting for financial instruments: Does it improve the association between bank leverage and credit risk?</w:t>
      </w:r>
    </w:p>
    <w:p w:rsidR="00156DD8" w:rsidRDefault="00156DD8" w:rsidP="00156DD8">
      <w:pPr>
        <w:jc w:val="center"/>
        <w:rPr>
          <w:b/>
          <w:bCs/>
        </w:rPr>
      </w:pPr>
    </w:p>
    <w:p w:rsidR="00156DD8" w:rsidRDefault="00156DD8" w:rsidP="00156DD8">
      <w:pPr>
        <w:jc w:val="center"/>
        <w:rPr>
          <w:b/>
          <w:bCs/>
        </w:rPr>
      </w:pPr>
    </w:p>
    <w:p w:rsidR="00156DD8" w:rsidRDefault="00156DD8" w:rsidP="00156DD8">
      <w:pPr>
        <w:jc w:val="center"/>
        <w:rPr>
          <w:b/>
          <w:bCs/>
        </w:rPr>
      </w:pPr>
    </w:p>
    <w:p w:rsidR="00156DD8" w:rsidRDefault="00156DD8" w:rsidP="00156DD8">
      <w:pPr>
        <w:jc w:val="center"/>
        <w:rPr>
          <w:b/>
          <w:bCs/>
        </w:rPr>
      </w:pPr>
    </w:p>
    <w:p w:rsidR="00156DD8" w:rsidRDefault="00156DD8" w:rsidP="00156DD8">
      <w:pPr>
        <w:jc w:val="center"/>
        <w:rPr>
          <w:b/>
          <w:bCs/>
        </w:rPr>
      </w:pPr>
    </w:p>
    <w:p w:rsidR="00156DD8" w:rsidRDefault="00156DD8" w:rsidP="00156DD8">
      <w:pPr>
        <w:jc w:val="center"/>
        <w:rPr>
          <w:b/>
          <w:bCs/>
        </w:rPr>
      </w:pPr>
    </w:p>
    <w:p w:rsidR="001002FA" w:rsidRDefault="001002FA" w:rsidP="00156DD8">
      <w:pPr>
        <w:jc w:val="center"/>
        <w:rPr>
          <w:b/>
          <w:bCs/>
        </w:rPr>
      </w:pPr>
      <w:r>
        <w:rPr>
          <w:b/>
          <w:bCs/>
        </w:rPr>
        <w:t>ABSTRACT</w:t>
      </w:r>
    </w:p>
    <w:p w:rsidR="001002FA" w:rsidRDefault="001002FA">
      <w:pPr>
        <w:rPr>
          <w:b/>
          <w:bCs/>
        </w:rPr>
      </w:pPr>
    </w:p>
    <w:p w:rsidR="001D36DB" w:rsidRDefault="001002FA">
      <w:pPr>
        <w:ind w:firstLine="720"/>
      </w:pPr>
      <w:r>
        <w:t xml:space="preserve">Many have argued that financial statements created under an accounting model </w:t>
      </w:r>
      <w:r w:rsidR="002A637D">
        <w:t xml:space="preserve">that </w:t>
      </w:r>
      <w:r w:rsidR="00C36BB6">
        <w:t xml:space="preserve">measures </w:t>
      </w:r>
      <w:r>
        <w:t>financial instruments at fair value would not fairly represent a bank’s business model</w:t>
      </w:r>
      <w:r w:rsidR="00646505">
        <w:t xml:space="preserve">. </w:t>
      </w:r>
      <w:r>
        <w:t xml:space="preserve">In this study we examine </w:t>
      </w:r>
      <w:r w:rsidR="00980A89">
        <w:t xml:space="preserve">whether </w:t>
      </w:r>
      <w:r w:rsidR="000109A0">
        <w:t>financial statements</w:t>
      </w:r>
      <w:r>
        <w:t xml:space="preserve"> </w:t>
      </w:r>
      <w:r w:rsidR="000109A0">
        <w:t>using</w:t>
      </w:r>
      <w:r>
        <w:t xml:space="preserve"> fair value</w:t>
      </w:r>
      <w:r w:rsidR="000109A0">
        <w:t>s</w:t>
      </w:r>
      <w:r>
        <w:t xml:space="preserve"> </w:t>
      </w:r>
      <w:r w:rsidR="009F6ECF">
        <w:t xml:space="preserve">for financial instruments </w:t>
      </w:r>
      <w:r w:rsidR="000109A0">
        <w:t>better</w:t>
      </w:r>
      <w:r>
        <w:t xml:space="preserve"> describe banks’ credit risk</w:t>
      </w:r>
      <w:r w:rsidR="000109A0">
        <w:t xml:space="preserve"> than less </w:t>
      </w:r>
      <w:r w:rsidR="00606508">
        <w:t>fair-</w:t>
      </w:r>
      <w:r w:rsidR="000109A0">
        <w:t>value</w:t>
      </w:r>
      <w:r w:rsidR="006119C8">
        <w:t>-</w:t>
      </w:r>
      <w:r w:rsidR="000109A0">
        <w:t>based financial statements</w:t>
      </w:r>
      <w:r w:rsidR="00646505">
        <w:t xml:space="preserve">. </w:t>
      </w:r>
      <w:r>
        <w:t>Specifically, we assess the extent to which</w:t>
      </w:r>
      <w:r w:rsidR="00787774">
        <w:t xml:space="preserve"> various</w:t>
      </w:r>
      <w:r>
        <w:t xml:space="preserve"> leverage </w:t>
      </w:r>
      <w:r w:rsidR="001E2447">
        <w:t>ratios</w:t>
      </w:r>
      <w:r w:rsidR="003F4C22">
        <w:t>,</w:t>
      </w:r>
      <w:r w:rsidR="001E2447">
        <w:t xml:space="preserve"> </w:t>
      </w:r>
      <w:r w:rsidR="003F4C22">
        <w:t>which</w:t>
      </w:r>
      <w:r>
        <w:t xml:space="preserve"> are </w:t>
      </w:r>
      <w:r w:rsidR="00E851B7">
        <w:t>calculated using</w:t>
      </w:r>
      <w:r w:rsidR="00787774">
        <w:t xml:space="preserve"> </w:t>
      </w:r>
      <w:r>
        <w:t xml:space="preserve">financial instruments </w:t>
      </w:r>
      <w:r w:rsidR="00E851B7">
        <w:t xml:space="preserve">measured </w:t>
      </w:r>
      <w:r w:rsidR="000109A0">
        <w:t>along a fair value continuum</w:t>
      </w:r>
      <w:r w:rsidR="003F4C22">
        <w:t>,</w:t>
      </w:r>
      <w:r>
        <w:t xml:space="preserve"> are associated with </w:t>
      </w:r>
      <w:r w:rsidR="00150DD3">
        <w:t>various</w:t>
      </w:r>
      <w:r>
        <w:t xml:space="preserve"> measures of credit risk. </w:t>
      </w:r>
      <w:r w:rsidR="00190219">
        <w:t xml:space="preserve">Our leverage </w:t>
      </w:r>
      <w:r w:rsidR="001E2447">
        <w:t>ratio</w:t>
      </w:r>
      <w:r w:rsidR="00190219">
        <w:t xml:space="preserve">s </w:t>
      </w:r>
      <w:r w:rsidR="00E8394D">
        <w:t>include</w:t>
      </w:r>
      <w:r w:rsidR="00190219">
        <w:t xml:space="preserve"> </w:t>
      </w:r>
      <w:r w:rsidR="00E8394D">
        <w:t xml:space="preserve">financial instruments </w:t>
      </w:r>
      <w:r w:rsidR="001C11EE">
        <w:t xml:space="preserve">measured </w:t>
      </w:r>
      <w:r w:rsidR="00E8394D">
        <w:t xml:space="preserve">at </w:t>
      </w:r>
      <w:r w:rsidR="00805868" w:rsidRPr="00311AFD">
        <w:t>1) fair value</w:t>
      </w:r>
      <w:r w:rsidR="00957EA5">
        <w:t>;</w:t>
      </w:r>
      <w:r w:rsidR="00805868" w:rsidRPr="00311AFD">
        <w:t xml:space="preserve"> 2</w:t>
      </w:r>
      <w:r w:rsidR="00957EA5">
        <w:t xml:space="preserve">) </w:t>
      </w:r>
      <w:r w:rsidR="00805868" w:rsidRPr="00311AFD">
        <w:t>US GAAP mixed-attribute values</w:t>
      </w:r>
      <w:r w:rsidR="00957EA5">
        <w:t>;</w:t>
      </w:r>
      <w:r w:rsidR="00805868" w:rsidRPr="00311AFD">
        <w:t xml:space="preserve"> and </w:t>
      </w:r>
      <w:r w:rsidR="00A767AF">
        <w:t>3</w:t>
      </w:r>
      <w:r w:rsidR="00805868" w:rsidRPr="00311AFD">
        <w:t xml:space="preserve">) Tier 1 </w:t>
      </w:r>
      <w:r w:rsidR="00885C07">
        <w:t>regulatory</w:t>
      </w:r>
      <w:r w:rsidR="00885C07" w:rsidRPr="00311AFD">
        <w:t xml:space="preserve"> </w:t>
      </w:r>
      <w:r w:rsidR="00805868" w:rsidRPr="00311AFD">
        <w:t>capital</w:t>
      </w:r>
      <w:r w:rsidR="006A5B7A">
        <w:t xml:space="preserve"> values</w:t>
      </w:r>
      <w:r w:rsidR="00646505">
        <w:t xml:space="preserve">. </w:t>
      </w:r>
      <w:r w:rsidR="00150DD3">
        <w:t>The</w:t>
      </w:r>
      <w:r>
        <w:t xml:space="preserve"> credit risk measures we consider are </w:t>
      </w:r>
      <w:r w:rsidR="00957EA5">
        <w:t>bond yield spreads</w:t>
      </w:r>
      <w:r w:rsidR="006A5B7A">
        <w:t xml:space="preserve"> and</w:t>
      </w:r>
      <w:r w:rsidR="00150DD3">
        <w:t xml:space="preserve"> future bank </w:t>
      </w:r>
      <w:r w:rsidR="006A5B7A">
        <w:t>failure</w:t>
      </w:r>
      <w:r w:rsidR="00646505">
        <w:t xml:space="preserve">. </w:t>
      </w:r>
      <w:r>
        <w:t>We find that leverage measured using the fair value</w:t>
      </w:r>
      <w:r w:rsidR="00CD564D">
        <w:t>s</w:t>
      </w:r>
      <w:r>
        <w:t xml:space="preserve"> of financial instruments</w:t>
      </w:r>
      <w:r w:rsidR="00957EA5">
        <w:t xml:space="preserve"> </w:t>
      </w:r>
      <w:r>
        <w:t xml:space="preserve">explains significantly more variation in </w:t>
      </w:r>
      <w:r w:rsidR="00957EA5">
        <w:t xml:space="preserve">bond yield spreads and bank </w:t>
      </w:r>
      <w:r w:rsidR="006A5B7A">
        <w:t>failure</w:t>
      </w:r>
      <w:r w:rsidR="00957EA5">
        <w:t xml:space="preserve"> than the other</w:t>
      </w:r>
      <w:r>
        <w:t xml:space="preserve"> less fair</w:t>
      </w:r>
      <w:r w:rsidR="006119C8">
        <w:t>-</w:t>
      </w:r>
      <w:r>
        <w:t>value</w:t>
      </w:r>
      <w:r w:rsidR="006119C8">
        <w:t>-</w:t>
      </w:r>
      <w:r>
        <w:t xml:space="preserve">based leverage </w:t>
      </w:r>
      <w:r w:rsidR="001E2447">
        <w:t>ratios</w:t>
      </w:r>
      <w:r w:rsidR="006A5B7A">
        <w:t xml:space="preserve"> in both univariate and multivariate analyses</w:t>
      </w:r>
      <w:r w:rsidR="00646505">
        <w:t xml:space="preserve">. </w:t>
      </w:r>
      <w:r w:rsidR="006A5B7A">
        <w:t xml:space="preserve">We also find that the fair value of loans </w:t>
      </w:r>
      <w:r w:rsidR="00A531E2">
        <w:t xml:space="preserve">and deposits </w:t>
      </w:r>
      <w:r w:rsidR="006A5B7A">
        <w:t xml:space="preserve">appear to be </w:t>
      </w:r>
      <w:r w:rsidR="00A767AF">
        <w:t xml:space="preserve">the </w:t>
      </w:r>
      <w:r w:rsidR="006A5B7A">
        <w:t>primary source</w:t>
      </w:r>
      <w:r w:rsidR="00A531E2">
        <w:t>s</w:t>
      </w:r>
      <w:r w:rsidR="006A5B7A">
        <w:t xml:space="preserve"> of incremental explanatory power.</w:t>
      </w:r>
    </w:p>
    <w:p w:rsidR="001002FA" w:rsidRDefault="001002FA" w:rsidP="0060223F"/>
    <w:p w:rsidR="00156DD8" w:rsidRDefault="00156DD8" w:rsidP="0060223F"/>
    <w:p w:rsidR="00156DD8" w:rsidRDefault="00156DD8" w:rsidP="0060223F"/>
    <w:p w:rsidR="00156DD8" w:rsidRDefault="00156DD8" w:rsidP="0060223F"/>
    <w:p w:rsidR="00156DD8" w:rsidRDefault="00156DD8" w:rsidP="0060223F"/>
    <w:p w:rsidR="00156DD8" w:rsidRDefault="00156DD8">
      <w:pPr>
        <w:rPr>
          <w:b/>
          <w:bCs/>
        </w:rPr>
      </w:pPr>
    </w:p>
    <w:p w:rsidR="00156DD8" w:rsidRDefault="00C21E23" w:rsidP="00156DD8">
      <w:r w:rsidRPr="00AB31E5">
        <w:rPr>
          <w:b/>
        </w:rPr>
        <w:t>Keywords</w:t>
      </w:r>
      <w:r w:rsidR="00156DD8">
        <w:t>:  fair value accounting; credit risk; banking industry</w:t>
      </w:r>
    </w:p>
    <w:p w:rsidR="00156DD8" w:rsidRDefault="00156DD8">
      <w:pPr>
        <w:rPr>
          <w:b/>
          <w:bCs/>
        </w:rPr>
      </w:pPr>
    </w:p>
    <w:p w:rsidR="00156DD8" w:rsidRDefault="00156DD8">
      <w:pPr>
        <w:rPr>
          <w:b/>
          <w:bCs/>
        </w:rPr>
      </w:pPr>
    </w:p>
    <w:p w:rsidR="001002FA" w:rsidRPr="00AB31E5" w:rsidRDefault="00156DD8">
      <w:pPr>
        <w:rPr>
          <w:bCs/>
        </w:rPr>
      </w:pPr>
      <w:r w:rsidRPr="00156DD8">
        <w:rPr>
          <w:b/>
          <w:bCs/>
        </w:rPr>
        <w:t>Data Availability</w:t>
      </w:r>
      <w:r w:rsidR="00C21E23" w:rsidRPr="00AB31E5">
        <w:rPr>
          <w:bCs/>
        </w:rPr>
        <w:t>: All data are publicly available from the sources indicated in the paper.</w:t>
      </w:r>
      <w:r w:rsidR="00C21E23" w:rsidRPr="00AB31E5">
        <w:rPr>
          <w:bCs/>
        </w:rPr>
        <w:br w:type="page"/>
      </w:r>
    </w:p>
    <w:p w:rsidR="000700E1" w:rsidRDefault="000700E1" w:rsidP="006341EA">
      <w:pPr>
        <w:pStyle w:val="ListParagraph"/>
        <w:numPr>
          <w:ilvl w:val="0"/>
          <w:numId w:val="10"/>
        </w:numPr>
        <w:jc w:val="center"/>
        <w:rPr>
          <w:rFonts w:ascii="Times New Roman" w:hAnsi="Times New Roman" w:cs="Times New Roman"/>
          <w:b/>
          <w:bCs/>
          <w:sz w:val="24"/>
          <w:szCs w:val="24"/>
        </w:rPr>
        <w:sectPr w:rsidR="000700E1" w:rsidSect="000700E1">
          <w:footerReference w:type="first" r:id="rId13"/>
          <w:pgSz w:w="12240" w:h="15840" w:code="1"/>
          <w:pgMar w:top="1440" w:right="1440" w:bottom="1440" w:left="1440" w:header="720" w:footer="720" w:gutter="0"/>
          <w:pgNumType w:start="0"/>
          <w:cols w:space="720"/>
          <w:docGrid w:linePitch="360"/>
        </w:sectPr>
      </w:pPr>
    </w:p>
    <w:p w:rsidR="001002FA" w:rsidRPr="006341EA" w:rsidRDefault="001002FA" w:rsidP="006341EA">
      <w:pPr>
        <w:pStyle w:val="ListParagraph"/>
        <w:numPr>
          <w:ilvl w:val="0"/>
          <w:numId w:val="10"/>
        </w:numPr>
        <w:jc w:val="center"/>
        <w:rPr>
          <w:rFonts w:ascii="Times New Roman" w:hAnsi="Times New Roman" w:cs="Times New Roman"/>
          <w:b/>
          <w:bCs/>
          <w:sz w:val="24"/>
          <w:szCs w:val="24"/>
        </w:rPr>
      </w:pPr>
      <w:r w:rsidRPr="006341EA">
        <w:rPr>
          <w:rFonts w:ascii="Times New Roman" w:hAnsi="Times New Roman" w:cs="Times New Roman"/>
          <w:b/>
          <w:bCs/>
          <w:sz w:val="24"/>
          <w:szCs w:val="24"/>
        </w:rPr>
        <w:lastRenderedPageBreak/>
        <w:t>INTRODUCTION</w:t>
      </w:r>
    </w:p>
    <w:p w:rsidR="001002FA" w:rsidRPr="004444C2" w:rsidRDefault="001002FA" w:rsidP="009F1A2E">
      <w:pPr>
        <w:ind w:left="180"/>
        <w:jc w:val="center"/>
        <w:rPr>
          <w:b/>
          <w:bCs/>
        </w:rPr>
      </w:pPr>
    </w:p>
    <w:p w:rsidR="009F43F9" w:rsidRDefault="003B4882" w:rsidP="009F43F9">
      <w:pPr>
        <w:spacing w:line="480" w:lineRule="auto"/>
        <w:ind w:firstLine="720"/>
      </w:pPr>
      <w:r>
        <w:t xml:space="preserve">This paper </w:t>
      </w:r>
      <w:r w:rsidR="009F43F9">
        <w:t>contribute</w:t>
      </w:r>
      <w:r>
        <w:t>s</w:t>
      </w:r>
      <w:r w:rsidR="009F43F9">
        <w:t xml:space="preserve"> to the debate on whether measuring financial instruments at fair value results in financial statements that are more representative of a bank’s financial condition</w:t>
      </w:r>
      <w:r w:rsidR="009F43F9" w:rsidRPr="00BF5D3E">
        <w:t xml:space="preserve"> </w:t>
      </w:r>
      <w:r w:rsidR="009F43F9">
        <w:t>than financial statements based on other methods of accounting for financial instruments</w:t>
      </w:r>
      <w:r w:rsidR="00646505">
        <w:t xml:space="preserve">. </w:t>
      </w:r>
      <w:r w:rsidR="009F43F9">
        <w:t>Some who oppose measuring all financial instruments at fair value</w:t>
      </w:r>
      <w:r>
        <w:t xml:space="preserve">, </w:t>
      </w:r>
      <w:r w:rsidR="009F43F9">
        <w:t xml:space="preserve">such as the </w:t>
      </w:r>
      <w:r w:rsidR="009F43F9" w:rsidRPr="00BE1AC4">
        <w:t>American Bankers Association (ABA)</w:t>
      </w:r>
      <w:r w:rsidR="009F43F9">
        <w:t>, which is</w:t>
      </w:r>
      <w:r w:rsidR="009F43F9" w:rsidRPr="00090644">
        <w:t xml:space="preserve"> </w:t>
      </w:r>
      <w:r w:rsidR="009F43F9">
        <w:t>the largest industry trade group r</w:t>
      </w:r>
      <w:r>
        <w:t>epresenting US commercial banks,</w:t>
      </w:r>
      <w:r w:rsidR="009F43F9">
        <w:t xml:space="preserve"> believe that the resulting financial statements would not be useful in assessing financial condition</w:t>
      </w:r>
      <w:r w:rsidR="00646505">
        <w:t xml:space="preserve">. </w:t>
      </w:r>
      <w:r w:rsidR="009F43F9">
        <w:t xml:space="preserve">They argue that amortized cost for non-traded financial instruments better represents the </w:t>
      </w:r>
      <w:r w:rsidR="009F43F9" w:rsidRPr="00BE1AC4">
        <w:t>banks</w:t>
      </w:r>
      <w:r w:rsidR="009F43F9">
        <w:t>’</w:t>
      </w:r>
      <w:r w:rsidR="009F43F9" w:rsidRPr="00BE1AC4">
        <w:t xml:space="preserve"> business model</w:t>
      </w:r>
      <w:r w:rsidR="009F43F9">
        <w:t xml:space="preserve"> than fair value (ABA 2009) because if a bank intends to hold a financial asset to collection or a financial liability </w:t>
      </w:r>
      <w:r w:rsidR="00885C07">
        <w:t xml:space="preserve">for </w:t>
      </w:r>
      <w:r w:rsidR="009F43F9">
        <w:t>payment, then any subsequent changes in fair value caused by changes in credit risk, liquidity, or interest rates are transitory</w:t>
      </w:r>
      <w:r w:rsidR="00AB31E5">
        <w:t>.  T</w:t>
      </w:r>
      <w:r w:rsidR="009F43F9">
        <w:t xml:space="preserve">hese </w:t>
      </w:r>
      <w:r w:rsidR="00AB31E5">
        <w:t xml:space="preserve">fair value </w:t>
      </w:r>
      <w:r w:rsidR="009F43F9">
        <w:t>changes</w:t>
      </w:r>
      <w:r w:rsidR="00AB31E5">
        <w:t xml:space="preserve"> are transitory because they</w:t>
      </w:r>
      <w:r w:rsidR="009F43F9">
        <w:t xml:space="preserve"> will reverse if the instrument is fully collected at maturity</w:t>
      </w:r>
      <w:r w:rsidR="00646505">
        <w:t xml:space="preserve">. </w:t>
      </w:r>
      <w:r w:rsidR="009F43F9">
        <w:t>Therefore, they believe that recognizing and measuring all financial instruments at fair value in the financial statements is misleading</w:t>
      </w:r>
      <w:r w:rsidR="00646505">
        <w:t xml:space="preserve">. </w:t>
      </w:r>
      <w:r w:rsidR="009F43F9">
        <w:t xml:space="preserve"> </w:t>
      </w:r>
    </w:p>
    <w:p w:rsidR="004F4738" w:rsidRPr="004F4738" w:rsidRDefault="00400C5A" w:rsidP="004F4738">
      <w:pPr>
        <w:pStyle w:val="Default"/>
        <w:spacing w:line="480" w:lineRule="auto"/>
        <w:ind w:firstLine="720"/>
      </w:pPr>
      <w:r>
        <w:rPr>
          <w:rFonts w:ascii="Times New Roman" w:hAnsi="Times New Roman" w:cs="Times New Roman"/>
          <w:color w:val="auto"/>
        </w:rPr>
        <w:t>Standard setters have been deliberating the role of fair values for financial instruments for decades</w:t>
      </w:r>
      <w:r w:rsidR="00646505">
        <w:rPr>
          <w:rFonts w:ascii="Times New Roman" w:hAnsi="Times New Roman" w:cs="Times New Roman"/>
          <w:color w:val="auto"/>
        </w:rPr>
        <w:t xml:space="preserve">. </w:t>
      </w:r>
      <w:r>
        <w:rPr>
          <w:rFonts w:ascii="Times New Roman" w:hAnsi="Times New Roman" w:cs="Times New Roman"/>
          <w:color w:val="auto"/>
        </w:rPr>
        <w:t>Starting after the savings and loan crisis in the late 1980s, the Financial Accounting Standards Board (FASB) has increased the extent to which financial instruments a</w:t>
      </w:r>
      <w:r w:rsidR="003B4882">
        <w:rPr>
          <w:rFonts w:ascii="Times New Roman" w:hAnsi="Times New Roman" w:cs="Times New Roman"/>
          <w:color w:val="auto"/>
        </w:rPr>
        <w:t>re recognized at fair value (</w:t>
      </w:r>
      <w:r>
        <w:rPr>
          <w:rFonts w:ascii="Times New Roman" w:hAnsi="Times New Roman" w:cs="Times New Roman"/>
          <w:color w:val="auto"/>
        </w:rPr>
        <w:t>Godwin, Petroni, and Wahlen 1998)</w:t>
      </w:r>
      <w:r w:rsidR="00646505">
        <w:rPr>
          <w:rFonts w:ascii="Times New Roman" w:hAnsi="Times New Roman" w:cs="Times New Roman"/>
          <w:color w:val="auto"/>
        </w:rPr>
        <w:t xml:space="preserve">. </w:t>
      </w:r>
      <w:r w:rsidR="00701291">
        <w:rPr>
          <w:rFonts w:ascii="Times New Roman" w:hAnsi="Times New Roman" w:cs="Times New Roman"/>
          <w:color w:val="auto"/>
        </w:rPr>
        <w:t>In 2010,</w:t>
      </w:r>
      <w:r w:rsidR="003B4882">
        <w:rPr>
          <w:rFonts w:ascii="Times New Roman" w:hAnsi="Times New Roman" w:cs="Times New Roman"/>
          <w:color w:val="auto"/>
        </w:rPr>
        <w:t xml:space="preserve"> the FASB proposed </w:t>
      </w:r>
      <w:r>
        <w:rPr>
          <w:rFonts w:ascii="Times New Roman" w:hAnsi="Times New Roman" w:cs="Times New Roman"/>
          <w:color w:val="auto"/>
        </w:rPr>
        <w:t xml:space="preserve">that all financial instruments be </w:t>
      </w:r>
      <w:r w:rsidR="00701291">
        <w:rPr>
          <w:rFonts w:ascii="Times New Roman" w:hAnsi="Times New Roman" w:cs="Times New Roman"/>
          <w:color w:val="auto"/>
        </w:rPr>
        <w:t>recognized</w:t>
      </w:r>
      <w:r>
        <w:rPr>
          <w:rFonts w:ascii="Times New Roman" w:hAnsi="Times New Roman" w:cs="Times New Roman"/>
          <w:color w:val="auto"/>
        </w:rPr>
        <w:t xml:space="preserve"> at fair value, with limited exception</w:t>
      </w:r>
      <w:r w:rsidR="00A531E2">
        <w:rPr>
          <w:rFonts w:ascii="Times New Roman" w:hAnsi="Times New Roman" w:cs="Times New Roman"/>
          <w:color w:val="auto"/>
        </w:rPr>
        <w:t>s for receivables and payables and</w:t>
      </w:r>
      <w:r w:rsidR="00DE5B8B">
        <w:rPr>
          <w:rFonts w:ascii="Times New Roman" w:hAnsi="Times New Roman" w:cs="Times New Roman"/>
          <w:color w:val="auto"/>
        </w:rPr>
        <w:t xml:space="preserve"> </w:t>
      </w:r>
      <w:r>
        <w:rPr>
          <w:rFonts w:ascii="Times New Roman" w:hAnsi="Times New Roman" w:cs="Times New Roman"/>
          <w:color w:val="auto"/>
        </w:rPr>
        <w:t>some companies’ own debt (FASB 2010). The proposal was controversial, with over 2,800 comment letters submitted</w:t>
      </w:r>
      <w:r w:rsidR="00801C89">
        <w:rPr>
          <w:rFonts w:ascii="Times New Roman" w:hAnsi="Times New Roman" w:cs="Times New Roman"/>
          <w:color w:val="auto"/>
        </w:rPr>
        <w:t xml:space="preserve">, </w:t>
      </w:r>
      <w:r>
        <w:rPr>
          <w:rFonts w:ascii="Times New Roman" w:hAnsi="Times New Roman" w:cs="Times New Roman"/>
          <w:color w:val="auto"/>
        </w:rPr>
        <w:t xml:space="preserve">the vast majority of which objected to the </w:t>
      </w:r>
      <w:r w:rsidR="00701291">
        <w:rPr>
          <w:rFonts w:ascii="Times New Roman" w:hAnsi="Times New Roman" w:cs="Times New Roman"/>
          <w:color w:val="auto"/>
        </w:rPr>
        <w:t xml:space="preserve">fair value </w:t>
      </w:r>
      <w:r>
        <w:rPr>
          <w:rFonts w:ascii="Times New Roman" w:hAnsi="Times New Roman" w:cs="Times New Roman"/>
          <w:color w:val="auto"/>
        </w:rPr>
        <w:t>measurement of loans, deposits</w:t>
      </w:r>
      <w:r w:rsidR="00A02833">
        <w:rPr>
          <w:rFonts w:ascii="Times New Roman" w:hAnsi="Times New Roman" w:cs="Times New Roman"/>
          <w:color w:val="auto"/>
        </w:rPr>
        <w:t>,</w:t>
      </w:r>
      <w:r>
        <w:rPr>
          <w:rFonts w:ascii="Times New Roman" w:hAnsi="Times New Roman" w:cs="Times New Roman"/>
          <w:color w:val="auto"/>
        </w:rPr>
        <w:t xml:space="preserve"> and financial liabilities. </w:t>
      </w:r>
      <w:r w:rsidR="00FB3DE7">
        <w:rPr>
          <w:rFonts w:ascii="Times New Roman" w:hAnsi="Times New Roman" w:cs="Times New Roman"/>
          <w:color w:val="auto"/>
        </w:rPr>
        <w:t>During 2012, t</w:t>
      </w:r>
      <w:r w:rsidR="00546389">
        <w:rPr>
          <w:rFonts w:ascii="Times New Roman" w:hAnsi="Times New Roman" w:cs="Times New Roman"/>
          <w:color w:val="auto"/>
        </w:rPr>
        <w:t xml:space="preserve">he FASB </w:t>
      </w:r>
      <w:proofErr w:type="spellStart"/>
      <w:r w:rsidR="009927AD">
        <w:rPr>
          <w:rFonts w:ascii="Times New Roman" w:hAnsi="Times New Roman" w:cs="Times New Roman"/>
          <w:color w:val="auto"/>
        </w:rPr>
        <w:t>redeliberat</w:t>
      </w:r>
      <w:r w:rsidR="00FB3DE7">
        <w:rPr>
          <w:rFonts w:ascii="Times New Roman" w:hAnsi="Times New Roman" w:cs="Times New Roman"/>
          <w:color w:val="auto"/>
        </w:rPr>
        <w:t>ed</w:t>
      </w:r>
      <w:proofErr w:type="spellEnd"/>
      <w:r w:rsidR="00546389">
        <w:rPr>
          <w:rFonts w:ascii="Times New Roman" w:hAnsi="Times New Roman" w:cs="Times New Roman"/>
          <w:color w:val="auto"/>
        </w:rPr>
        <w:t xml:space="preserve"> this project and </w:t>
      </w:r>
      <w:r w:rsidR="009C421F">
        <w:rPr>
          <w:rFonts w:ascii="Times New Roman" w:hAnsi="Times New Roman" w:cs="Times New Roman"/>
          <w:color w:val="auto"/>
        </w:rPr>
        <w:t xml:space="preserve">in </w:t>
      </w:r>
      <w:r w:rsidR="00FB3DE7">
        <w:rPr>
          <w:rFonts w:ascii="Times New Roman" w:hAnsi="Times New Roman" w:cs="Times New Roman"/>
          <w:color w:val="auto"/>
        </w:rPr>
        <w:t>early 2013 it issued an exposure draft t</w:t>
      </w:r>
      <w:r>
        <w:rPr>
          <w:rFonts w:ascii="Times New Roman" w:hAnsi="Times New Roman" w:cs="Times New Roman"/>
          <w:color w:val="auto"/>
        </w:rPr>
        <w:t xml:space="preserve">hat </w:t>
      </w:r>
      <w:r w:rsidR="00FB3DE7">
        <w:rPr>
          <w:rFonts w:ascii="Times New Roman" w:hAnsi="Times New Roman" w:cs="Times New Roman"/>
          <w:color w:val="auto"/>
        </w:rPr>
        <w:t xml:space="preserve">proposes that </w:t>
      </w:r>
      <w:r w:rsidR="00A84B1D">
        <w:rPr>
          <w:rFonts w:ascii="Times New Roman" w:hAnsi="Times New Roman" w:cs="Times New Roman"/>
          <w:color w:val="auto"/>
        </w:rPr>
        <w:t xml:space="preserve">all financial instruments </w:t>
      </w:r>
      <w:r w:rsidR="00936DDC">
        <w:rPr>
          <w:rFonts w:ascii="Times New Roman" w:hAnsi="Times New Roman" w:cs="Times New Roman"/>
          <w:color w:val="auto"/>
        </w:rPr>
        <w:t>sh</w:t>
      </w:r>
      <w:r w:rsidR="00A84B1D">
        <w:rPr>
          <w:rFonts w:ascii="Times New Roman" w:hAnsi="Times New Roman" w:cs="Times New Roman"/>
          <w:color w:val="auto"/>
        </w:rPr>
        <w:t xml:space="preserve">ould be </w:t>
      </w:r>
      <w:r w:rsidR="00EE27A3">
        <w:rPr>
          <w:rFonts w:ascii="Times New Roman" w:hAnsi="Times New Roman" w:cs="Times New Roman"/>
          <w:color w:val="auto"/>
        </w:rPr>
        <w:lastRenderedPageBreak/>
        <w:t xml:space="preserve">measured </w:t>
      </w:r>
      <w:r w:rsidR="00A84B1D">
        <w:rPr>
          <w:rFonts w:ascii="Times New Roman" w:hAnsi="Times New Roman" w:cs="Times New Roman"/>
          <w:color w:val="auto"/>
        </w:rPr>
        <w:t xml:space="preserve">at fair value except </w:t>
      </w:r>
      <w:r>
        <w:rPr>
          <w:rFonts w:ascii="Times New Roman" w:hAnsi="Times New Roman" w:cs="Times New Roman"/>
          <w:color w:val="auto"/>
        </w:rPr>
        <w:t xml:space="preserve">certain debt financial assets </w:t>
      </w:r>
      <w:r w:rsidR="00D45BC5">
        <w:rPr>
          <w:rFonts w:ascii="Times New Roman" w:hAnsi="Times New Roman" w:cs="Times New Roman"/>
          <w:color w:val="auto"/>
        </w:rPr>
        <w:t xml:space="preserve">and </w:t>
      </w:r>
      <w:r w:rsidR="004F4738" w:rsidRPr="004F4738">
        <w:rPr>
          <w:rFonts w:ascii="Times New Roman" w:hAnsi="Times New Roman" w:cs="Times New Roman"/>
        </w:rPr>
        <w:t>most financial liabilities (including deposits)</w:t>
      </w:r>
      <w:r w:rsidR="00EE27A3">
        <w:rPr>
          <w:rFonts w:ascii="Times New Roman" w:hAnsi="Times New Roman" w:cs="Times New Roman"/>
        </w:rPr>
        <w:t>, which</w:t>
      </w:r>
      <w:r w:rsidR="004F4738" w:rsidRPr="004F4738">
        <w:rPr>
          <w:rFonts w:ascii="Times New Roman" w:hAnsi="Times New Roman" w:cs="Times New Roman"/>
        </w:rPr>
        <w:t xml:space="preserve"> </w:t>
      </w:r>
      <w:r w:rsidR="00EE27A3">
        <w:rPr>
          <w:rFonts w:ascii="Times New Roman" w:hAnsi="Times New Roman" w:cs="Times New Roman"/>
        </w:rPr>
        <w:t>w</w:t>
      </w:r>
      <w:r w:rsidR="00A84B1D" w:rsidRPr="004F4738">
        <w:rPr>
          <w:rFonts w:ascii="Times New Roman" w:hAnsi="Times New Roman" w:cs="Times New Roman"/>
        </w:rPr>
        <w:t xml:space="preserve">ould </w:t>
      </w:r>
      <w:r w:rsidR="00701291">
        <w:rPr>
          <w:rFonts w:ascii="Times New Roman" w:hAnsi="Times New Roman" w:cs="Times New Roman"/>
        </w:rPr>
        <w:t xml:space="preserve">be </w:t>
      </w:r>
      <w:r w:rsidR="00CA3F91">
        <w:rPr>
          <w:rFonts w:ascii="Times New Roman" w:hAnsi="Times New Roman" w:cs="Times New Roman"/>
        </w:rPr>
        <w:t>measured</w:t>
      </w:r>
      <w:r w:rsidR="00CA3F91" w:rsidRPr="004F4738">
        <w:rPr>
          <w:rFonts w:ascii="Times New Roman" w:hAnsi="Times New Roman" w:cs="Times New Roman"/>
        </w:rPr>
        <w:t xml:space="preserve"> </w:t>
      </w:r>
      <w:r w:rsidR="004F4738" w:rsidRPr="004F4738">
        <w:rPr>
          <w:rFonts w:ascii="Times New Roman" w:hAnsi="Times New Roman" w:cs="Times New Roman"/>
        </w:rPr>
        <w:t>at amortized cost</w:t>
      </w:r>
      <w:r w:rsidR="00A84B1D">
        <w:rPr>
          <w:rFonts w:ascii="Times New Roman" w:hAnsi="Times New Roman" w:cs="Times New Roman"/>
        </w:rPr>
        <w:t xml:space="preserve"> </w:t>
      </w:r>
      <w:r w:rsidR="00D45BC5">
        <w:rPr>
          <w:rFonts w:ascii="Times New Roman" w:hAnsi="Times New Roman" w:cs="Times New Roman"/>
        </w:rPr>
        <w:t xml:space="preserve">(FASB </w:t>
      </w:r>
      <w:r w:rsidR="00FB3DE7">
        <w:rPr>
          <w:rFonts w:ascii="Times New Roman" w:hAnsi="Times New Roman" w:cs="Times New Roman"/>
        </w:rPr>
        <w:t>2013</w:t>
      </w:r>
      <w:r w:rsidR="00D45BC5">
        <w:rPr>
          <w:rFonts w:ascii="Times New Roman" w:hAnsi="Times New Roman" w:cs="Times New Roman"/>
        </w:rPr>
        <w:t>)</w:t>
      </w:r>
      <w:r w:rsidR="00A84B1D" w:rsidRPr="004F4738">
        <w:rPr>
          <w:rFonts w:ascii="Times New Roman" w:hAnsi="Times New Roman" w:cs="Times New Roman"/>
        </w:rPr>
        <w:t>.</w:t>
      </w:r>
      <w:r w:rsidR="00A84B1D">
        <w:rPr>
          <w:rStyle w:val="FootnoteReference"/>
          <w:rFonts w:ascii="Times New Roman" w:hAnsi="Times New Roman" w:cs="Times New Roman"/>
          <w:color w:val="auto"/>
        </w:rPr>
        <w:footnoteReference w:id="1"/>
      </w:r>
      <w:r w:rsidR="004F4738" w:rsidRPr="004F4738">
        <w:rPr>
          <w:rFonts w:ascii="Times New Roman" w:hAnsi="Times New Roman" w:cs="Times New Roman"/>
        </w:rPr>
        <w:t xml:space="preserve"> </w:t>
      </w:r>
      <w:r w:rsidR="004A1BF7">
        <w:rPr>
          <w:rFonts w:ascii="Times New Roman" w:hAnsi="Times New Roman" w:cs="Times New Roman"/>
        </w:rPr>
        <w:t>T</w:t>
      </w:r>
      <w:r w:rsidR="00483210">
        <w:rPr>
          <w:rFonts w:ascii="Times New Roman" w:hAnsi="Times New Roman" w:cs="Times New Roman"/>
        </w:rPr>
        <w:t>he International Accounting Standards Board (</w:t>
      </w:r>
      <w:r w:rsidR="004F4738" w:rsidRPr="004F4738">
        <w:rPr>
          <w:rFonts w:ascii="Times New Roman" w:hAnsi="Times New Roman" w:cs="Times New Roman"/>
        </w:rPr>
        <w:t>IASB</w:t>
      </w:r>
      <w:r w:rsidR="00483210">
        <w:rPr>
          <w:rFonts w:ascii="Times New Roman" w:hAnsi="Times New Roman" w:cs="Times New Roman"/>
        </w:rPr>
        <w:t>)</w:t>
      </w:r>
      <w:r w:rsidR="004F4738" w:rsidRPr="004F4738">
        <w:rPr>
          <w:rFonts w:ascii="Times New Roman" w:hAnsi="Times New Roman" w:cs="Times New Roman"/>
        </w:rPr>
        <w:t xml:space="preserve"> </w:t>
      </w:r>
      <w:r w:rsidR="004A1BF7">
        <w:rPr>
          <w:rFonts w:ascii="Times New Roman" w:hAnsi="Times New Roman" w:cs="Times New Roman"/>
        </w:rPr>
        <w:t xml:space="preserve">also </w:t>
      </w:r>
      <w:r w:rsidR="009C421F">
        <w:rPr>
          <w:rFonts w:ascii="Times New Roman" w:hAnsi="Times New Roman" w:cs="Times New Roman"/>
        </w:rPr>
        <w:t xml:space="preserve">recently </w:t>
      </w:r>
      <w:r w:rsidR="004A1BF7">
        <w:rPr>
          <w:rFonts w:ascii="Times New Roman" w:hAnsi="Times New Roman" w:cs="Times New Roman"/>
        </w:rPr>
        <w:t>issued an exposure draft calling for a similar mixed-attribute model (IASB 2012)</w:t>
      </w:r>
      <w:r w:rsidR="00A84B1D">
        <w:rPr>
          <w:rFonts w:ascii="Times New Roman" w:hAnsi="Times New Roman" w:cs="Times New Roman"/>
        </w:rPr>
        <w:t>.</w:t>
      </w:r>
      <w:r w:rsidR="00986D27">
        <w:rPr>
          <w:rFonts w:ascii="Times New Roman" w:hAnsi="Times New Roman" w:cs="Times New Roman"/>
        </w:rPr>
        <w:t xml:space="preserve">  </w:t>
      </w:r>
      <w:r w:rsidR="00895FBC" w:rsidRPr="004F4738">
        <w:rPr>
          <w:rFonts w:ascii="Times New Roman" w:hAnsi="Times New Roman" w:cs="Times New Roman"/>
        </w:rPr>
        <w:t xml:space="preserve">But this </w:t>
      </w:r>
      <w:r w:rsidR="00895FBC">
        <w:rPr>
          <w:rFonts w:ascii="Times New Roman" w:hAnsi="Times New Roman" w:cs="Times New Roman"/>
        </w:rPr>
        <w:t>matter</w:t>
      </w:r>
      <w:r w:rsidR="00895FBC" w:rsidRPr="004F4738">
        <w:rPr>
          <w:rFonts w:ascii="Times New Roman" w:hAnsi="Times New Roman" w:cs="Times New Roman"/>
        </w:rPr>
        <w:t xml:space="preserve"> is not yet settled</w:t>
      </w:r>
      <w:r w:rsidR="00895FBC">
        <w:rPr>
          <w:rFonts w:ascii="Times New Roman" w:hAnsi="Times New Roman" w:cs="Times New Roman"/>
        </w:rPr>
        <w:t>, the</w:t>
      </w:r>
      <w:r w:rsidR="00895FBC" w:rsidRPr="004F4738">
        <w:rPr>
          <w:rFonts w:ascii="Times New Roman" w:hAnsi="Times New Roman" w:cs="Times New Roman"/>
        </w:rPr>
        <w:t xml:space="preserve"> FASB and </w:t>
      </w:r>
      <w:r w:rsidR="00895FBC">
        <w:rPr>
          <w:rFonts w:ascii="Times New Roman" w:hAnsi="Times New Roman" w:cs="Times New Roman"/>
        </w:rPr>
        <w:t xml:space="preserve">the </w:t>
      </w:r>
      <w:r w:rsidR="00895FBC" w:rsidRPr="004F4738">
        <w:rPr>
          <w:rFonts w:ascii="Times New Roman" w:hAnsi="Times New Roman" w:cs="Times New Roman"/>
        </w:rPr>
        <w:t xml:space="preserve">IASB </w:t>
      </w:r>
      <w:r w:rsidR="000C6BD2">
        <w:rPr>
          <w:rFonts w:ascii="Times New Roman" w:hAnsi="Times New Roman" w:cs="Times New Roman"/>
        </w:rPr>
        <w:t>will</w:t>
      </w:r>
      <w:r w:rsidR="00895FBC">
        <w:rPr>
          <w:rFonts w:ascii="Times New Roman" w:hAnsi="Times New Roman" w:cs="Times New Roman"/>
        </w:rPr>
        <w:t xml:space="preserve"> </w:t>
      </w:r>
      <w:r w:rsidR="004D5C34">
        <w:rPr>
          <w:rFonts w:ascii="Times New Roman" w:hAnsi="Times New Roman" w:cs="Times New Roman"/>
        </w:rPr>
        <w:t>redeliberate</w:t>
      </w:r>
      <w:r w:rsidR="000C6BD2">
        <w:rPr>
          <w:rFonts w:ascii="Times New Roman" w:hAnsi="Times New Roman" w:cs="Times New Roman"/>
        </w:rPr>
        <w:t xml:space="preserve"> it again after their comment periods and prior to issuing final </w:t>
      </w:r>
      <w:r w:rsidR="00986D27">
        <w:rPr>
          <w:rFonts w:ascii="Times New Roman" w:hAnsi="Times New Roman" w:cs="Times New Roman"/>
        </w:rPr>
        <w:t>standa</w:t>
      </w:r>
      <w:r w:rsidR="00895FBC">
        <w:rPr>
          <w:rFonts w:ascii="Times New Roman" w:hAnsi="Times New Roman" w:cs="Times New Roman"/>
        </w:rPr>
        <w:t>rds</w:t>
      </w:r>
      <w:r w:rsidR="00986D27">
        <w:rPr>
          <w:rFonts w:ascii="Times New Roman" w:hAnsi="Times New Roman" w:cs="Times New Roman"/>
        </w:rPr>
        <w:t xml:space="preserve"> in late 2013 or 2014.</w:t>
      </w:r>
    </w:p>
    <w:p w:rsidR="00751530" w:rsidRDefault="00820565" w:rsidP="000F6959">
      <w:pPr>
        <w:spacing w:line="480" w:lineRule="auto"/>
        <w:ind w:firstLine="720"/>
      </w:pPr>
      <w:r>
        <w:t xml:space="preserve">To </w:t>
      </w:r>
      <w:r w:rsidR="00BB1E3A">
        <w:t xml:space="preserve">provide insight on the </w:t>
      </w:r>
      <w:r>
        <w:t>controversy</w:t>
      </w:r>
      <w:r w:rsidR="001002FA">
        <w:t xml:space="preserve">, we assess </w:t>
      </w:r>
      <w:r w:rsidR="00F232FF">
        <w:t>whether</w:t>
      </w:r>
      <w:r w:rsidR="001002FA">
        <w:t xml:space="preserve"> </w:t>
      </w:r>
      <w:r w:rsidR="00F232FF">
        <w:t>a fair value</w:t>
      </w:r>
      <w:r w:rsidR="001002FA">
        <w:t xml:space="preserve"> leverage </w:t>
      </w:r>
      <w:r w:rsidR="001E2447">
        <w:t>ratio</w:t>
      </w:r>
      <w:r w:rsidR="00F232FF">
        <w:t xml:space="preserve"> </w:t>
      </w:r>
      <w:r w:rsidR="001002FA">
        <w:t xml:space="preserve">can explain </w:t>
      </w:r>
      <w:r w:rsidR="004544ED">
        <w:t xml:space="preserve">measures of </w:t>
      </w:r>
      <w:r w:rsidR="001002FA">
        <w:t>a bank’s credit risk</w:t>
      </w:r>
      <w:r w:rsidR="00F232FF">
        <w:t xml:space="preserve"> better than</w:t>
      </w:r>
      <w:r w:rsidR="009353A5" w:rsidRPr="009353A5">
        <w:t xml:space="preserve"> a</w:t>
      </w:r>
      <w:r w:rsidR="00265E8A">
        <w:t xml:space="preserve"> leverage ratio based on a</w:t>
      </w:r>
      <w:r w:rsidR="009353A5" w:rsidRPr="009353A5">
        <w:t xml:space="preserve"> mixture of fair values and historical costs consistent with the mixed-attribute model </w:t>
      </w:r>
      <w:r w:rsidR="00495C87">
        <w:t>under</w:t>
      </w:r>
      <w:r w:rsidR="00495C87" w:rsidRPr="009353A5">
        <w:t xml:space="preserve"> </w:t>
      </w:r>
      <w:r w:rsidR="00A65FCD">
        <w:t xml:space="preserve">current </w:t>
      </w:r>
      <w:r w:rsidR="009353A5" w:rsidRPr="009353A5">
        <w:t>US Generally Accepted Accounting Principles (GAAP</w:t>
      </w:r>
      <w:r w:rsidR="00265E8A">
        <w:t>)</w:t>
      </w:r>
      <w:r w:rsidR="00F232FF">
        <w:t xml:space="preserve"> </w:t>
      </w:r>
      <w:r w:rsidR="00A02833" w:rsidRPr="00C51BF9">
        <w:t>and</w:t>
      </w:r>
      <w:r w:rsidR="00F232FF" w:rsidRPr="00C51BF9">
        <w:t xml:space="preserve"> </w:t>
      </w:r>
      <w:r w:rsidR="00265E8A" w:rsidRPr="00C51BF9">
        <w:t xml:space="preserve">a leverage ratio </w:t>
      </w:r>
      <w:r w:rsidR="003F4C22">
        <w:t xml:space="preserve">that </w:t>
      </w:r>
      <w:r w:rsidR="003F4C22" w:rsidRPr="00853142">
        <w:t>is consistent with Tier 1 regulatory capital</w:t>
      </w:r>
      <w:r w:rsidR="003F4C22">
        <w:t>,</w:t>
      </w:r>
      <w:r w:rsidR="003F4C22" w:rsidRPr="00C51BF9">
        <w:t xml:space="preserve"> </w:t>
      </w:r>
      <w:r w:rsidR="003F4C22">
        <w:t xml:space="preserve">which is </w:t>
      </w:r>
      <w:r w:rsidR="00265E8A" w:rsidRPr="00C51BF9">
        <w:t>based on fewer fair values than GAAP</w:t>
      </w:r>
      <w:r w:rsidR="001002FA" w:rsidRPr="00C51BF9">
        <w:t>.</w:t>
      </w:r>
      <w:r w:rsidR="001002FA">
        <w:t xml:space="preserve"> </w:t>
      </w:r>
      <w:r w:rsidR="00CA663D">
        <w:t xml:space="preserve">We focus on </w:t>
      </w:r>
      <w:r w:rsidR="00B03A4D">
        <w:t xml:space="preserve">balance sheet </w:t>
      </w:r>
      <w:r w:rsidR="00CA663D">
        <w:t xml:space="preserve">leverage because it is </w:t>
      </w:r>
      <w:r w:rsidR="0088080E">
        <w:t xml:space="preserve">very </w:t>
      </w:r>
      <w:r w:rsidR="00CA663D">
        <w:t>commonly used for assessing firm risk.</w:t>
      </w:r>
      <w:r w:rsidR="001002FA">
        <w:t xml:space="preserve"> </w:t>
      </w:r>
      <w:r w:rsidR="00217B60">
        <w:t>We define</w:t>
      </w:r>
      <w:r w:rsidR="00427504">
        <w:t xml:space="preserve"> </w:t>
      </w:r>
      <w:r w:rsidR="00AE7E32">
        <w:t>a</w:t>
      </w:r>
      <w:r w:rsidR="00427504">
        <w:t xml:space="preserve"> bank’s credit</w:t>
      </w:r>
      <w:r w:rsidR="00217B60">
        <w:t xml:space="preserve"> risk </w:t>
      </w:r>
      <w:r w:rsidR="00427504">
        <w:t xml:space="preserve">as the risk that </w:t>
      </w:r>
      <w:r w:rsidR="00AE7E32">
        <w:t>the</w:t>
      </w:r>
      <w:r w:rsidR="00427504">
        <w:t xml:space="preserve"> bank defaults on its obligations</w:t>
      </w:r>
      <w:r w:rsidR="00E15888">
        <w:t>, and w</w:t>
      </w:r>
      <w:r w:rsidR="001002FA">
        <w:t xml:space="preserve">e focus on credit risk because </w:t>
      </w:r>
      <w:r w:rsidR="00947401">
        <w:t xml:space="preserve">understanding </w:t>
      </w:r>
      <w:r w:rsidR="001002FA">
        <w:t xml:space="preserve">a bank’s credit risk is essential </w:t>
      </w:r>
      <w:r w:rsidR="00AE7E32">
        <w:t xml:space="preserve">to </w:t>
      </w:r>
      <w:r w:rsidR="001002FA">
        <w:t>understanding its financial condition</w:t>
      </w:r>
      <w:r w:rsidR="00646505">
        <w:t xml:space="preserve">. </w:t>
      </w:r>
      <w:r w:rsidR="00AE7E32">
        <w:t xml:space="preserve"> </w:t>
      </w:r>
      <w:r w:rsidR="00CA3F91">
        <w:t>A bank’s credit risk is directly related to the credit risk inherent in the bank’s portfolio of financial instruments, and it is widely believed that an underestimation of credit risk in financial instruments held by banks contributed significantly to the recent financial crisis (</w:t>
      </w:r>
      <w:r w:rsidR="00395BE8">
        <w:t xml:space="preserve">US </w:t>
      </w:r>
      <w:r w:rsidR="00CA3F91">
        <w:t xml:space="preserve">GAO 2009) and the Japanese banking crisis of the 1990s and 2000s (Linsmeier 2011). As we describe in the next section, </w:t>
      </w:r>
      <w:r w:rsidR="004957AE">
        <w:t xml:space="preserve">although there are </w:t>
      </w:r>
      <w:r w:rsidR="00CA3F91">
        <w:t>prior studies that examine the relationship between fair values and equity market metrics</w:t>
      </w:r>
      <w:r w:rsidR="004957AE">
        <w:t xml:space="preserve">, the results </w:t>
      </w:r>
      <w:r w:rsidR="00CA3F91">
        <w:t>may not carry over to credit risk</w:t>
      </w:r>
      <w:r w:rsidR="00761674">
        <w:t>,</w:t>
      </w:r>
      <w:r w:rsidR="00CA3F91">
        <w:t xml:space="preserve"> and our focus on credit risk allows us to assess more directly whether fair values or management’s estimates of net </w:t>
      </w:r>
      <w:r w:rsidR="00CA3F91">
        <w:lastRenderedPageBreak/>
        <w:t xml:space="preserve">realizable values </w:t>
      </w:r>
      <w:r w:rsidR="00495C87">
        <w:t xml:space="preserve">inherent in GAAP and Tier 1 regulatory capital </w:t>
      </w:r>
      <w:r w:rsidR="00CA3F91">
        <w:t>are more highly associated with the financial condition of bank</w:t>
      </w:r>
      <w:r w:rsidR="00885C07">
        <w:t>s</w:t>
      </w:r>
      <w:r w:rsidR="00646505">
        <w:t xml:space="preserve">. </w:t>
      </w:r>
      <w:r w:rsidR="001002FA">
        <w:t xml:space="preserve"> </w:t>
      </w:r>
    </w:p>
    <w:p w:rsidR="0093667B" w:rsidRDefault="001002FA" w:rsidP="00CA3F91">
      <w:pPr>
        <w:spacing w:line="480" w:lineRule="auto"/>
        <w:ind w:firstLine="720"/>
      </w:pPr>
      <w:r>
        <w:t>If we demonstrate that leverage measured using fair values is more highly associated with bank credit risk than</w:t>
      </w:r>
      <w:r w:rsidR="00A63327">
        <w:t xml:space="preserve"> </w:t>
      </w:r>
      <w:r w:rsidR="00A531E2">
        <w:t xml:space="preserve">the </w:t>
      </w:r>
      <w:r>
        <w:t>other</w:t>
      </w:r>
      <w:r w:rsidR="00F232FF">
        <w:t xml:space="preserve"> two</w:t>
      </w:r>
      <w:r>
        <w:t xml:space="preserve"> less fair</w:t>
      </w:r>
      <w:r w:rsidR="00761674">
        <w:t>-</w:t>
      </w:r>
      <w:r>
        <w:t>value</w:t>
      </w:r>
      <w:r w:rsidR="006119C8">
        <w:t>-</w:t>
      </w:r>
      <w:r>
        <w:t xml:space="preserve">based </w:t>
      </w:r>
      <w:r w:rsidR="00A63327">
        <w:t xml:space="preserve">leverage </w:t>
      </w:r>
      <w:r w:rsidR="001E2447">
        <w:t>ratios</w:t>
      </w:r>
      <w:r>
        <w:t xml:space="preserve">, then one can </w:t>
      </w:r>
      <w:r w:rsidR="007C6B6B">
        <w:t>conclude that</w:t>
      </w:r>
      <w:r w:rsidR="009F6ECF">
        <w:t xml:space="preserve"> </w:t>
      </w:r>
      <w:r>
        <w:t xml:space="preserve">a fair value model </w:t>
      </w:r>
      <w:r w:rsidR="009F6ECF">
        <w:t xml:space="preserve">for financial instruments </w:t>
      </w:r>
      <w:r w:rsidR="0024423D">
        <w:t xml:space="preserve">results in a </w:t>
      </w:r>
      <w:r w:rsidR="00B01345">
        <w:t>balance sheet</w:t>
      </w:r>
      <w:r w:rsidR="0024423D">
        <w:t xml:space="preserve"> that </w:t>
      </w:r>
      <w:r w:rsidR="00F232FF">
        <w:t xml:space="preserve">better </w:t>
      </w:r>
      <w:r>
        <w:t>capture</w:t>
      </w:r>
      <w:r w:rsidR="00B64B93">
        <w:t>s</w:t>
      </w:r>
      <w:r>
        <w:t xml:space="preserve"> the important bank attribute of credit risk</w:t>
      </w:r>
      <w:r w:rsidR="00936DDC">
        <w:t>,</w:t>
      </w:r>
      <w:r w:rsidR="007C6B6B">
        <w:t xml:space="preserve"> even </w:t>
      </w:r>
      <w:r w:rsidR="00535714">
        <w:t xml:space="preserve">if </w:t>
      </w:r>
      <w:r w:rsidR="007C6B6B">
        <w:t xml:space="preserve">banks intend to hold some financial instruments </w:t>
      </w:r>
      <w:r w:rsidR="00DF35C8">
        <w:t>to maturity</w:t>
      </w:r>
      <w:r w:rsidR="00646505">
        <w:t xml:space="preserve">. </w:t>
      </w:r>
      <w:r w:rsidR="00E15888">
        <w:t>If fair values of financial instruments capture credit risk</w:t>
      </w:r>
      <w:r w:rsidR="0040583A">
        <w:t xml:space="preserve"> that is not reflected in</w:t>
      </w:r>
      <w:r w:rsidR="00951158">
        <w:t xml:space="preserve"> other less fair</w:t>
      </w:r>
      <w:r w:rsidR="009073AA">
        <w:t>-</w:t>
      </w:r>
      <w:r w:rsidR="00951158">
        <w:t>value</w:t>
      </w:r>
      <w:r w:rsidR="009073AA">
        <w:t>-</w:t>
      </w:r>
      <w:r w:rsidR="00951158">
        <w:t>based ratios</w:t>
      </w:r>
      <w:r w:rsidR="00A65FCD">
        <w:t>, the</w:t>
      </w:r>
      <w:r w:rsidR="00E15888">
        <w:t xml:space="preserve"> implication is that</w:t>
      </w:r>
      <w:r w:rsidR="00140AE2">
        <w:t xml:space="preserve"> a</w:t>
      </w:r>
      <w:r w:rsidR="00E15888">
        <w:t xml:space="preserve"> </w:t>
      </w:r>
      <w:r w:rsidR="004544ED">
        <w:t xml:space="preserve">fair value </w:t>
      </w:r>
      <w:r w:rsidR="00E15888">
        <w:t xml:space="preserve">leverage ratio </w:t>
      </w:r>
      <w:r w:rsidR="00281240">
        <w:t>should</w:t>
      </w:r>
      <w:r w:rsidR="00C23266">
        <w:t xml:space="preserve"> </w:t>
      </w:r>
      <w:r w:rsidR="00EF5385">
        <w:t>beat out other common</w:t>
      </w:r>
      <w:r w:rsidR="002A6475">
        <w:t>ly used</w:t>
      </w:r>
      <w:r w:rsidR="00EF5385">
        <w:t xml:space="preserve"> </w:t>
      </w:r>
      <w:r w:rsidR="00B864DE">
        <w:t xml:space="preserve">leverage </w:t>
      </w:r>
      <w:r w:rsidR="001E2447">
        <w:t xml:space="preserve">ratios </w:t>
      </w:r>
      <w:r w:rsidR="00EF5385">
        <w:t xml:space="preserve">in explaining </w:t>
      </w:r>
      <w:r w:rsidR="00B864DE">
        <w:t xml:space="preserve">bank </w:t>
      </w:r>
      <w:r w:rsidR="00EF5385">
        <w:t>credit risk</w:t>
      </w:r>
      <w:r w:rsidR="00646505">
        <w:t xml:space="preserve">. </w:t>
      </w:r>
      <w:r w:rsidR="00E15888">
        <w:t>However, to the extent that fair values incorporate additional market risks that do</w:t>
      </w:r>
      <w:r w:rsidR="006A015E">
        <w:t xml:space="preserve"> </w:t>
      </w:r>
      <w:r w:rsidR="00E15888">
        <w:t>n</w:t>
      </w:r>
      <w:r w:rsidR="006A015E">
        <w:t>o</w:t>
      </w:r>
      <w:r w:rsidR="00E15888">
        <w:t xml:space="preserve">t affect the bank’s overall credit risk, fair value leverage could be a poor representation of a bank’s credit risk. </w:t>
      </w:r>
      <w:r w:rsidR="00DE5B15">
        <w:t>Because</w:t>
      </w:r>
      <w:r w:rsidR="00C23266">
        <w:t xml:space="preserve"> the</w:t>
      </w:r>
      <w:r w:rsidR="0093667B">
        <w:t xml:space="preserve"> fair value of a fina</w:t>
      </w:r>
      <w:r w:rsidR="00F46B12">
        <w:t>ncial instrument represents its exchange price</w:t>
      </w:r>
      <w:r w:rsidR="00B864DE">
        <w:t>,</w:t>
      </w:r>
      <w:r w:rsidR="00F46B12">
        <w:t xml:space="preserve"> which reflects </w:t>
      </w:r>
      <w:r w:rsidR="004352FC">
        <w:t xml:space="preserve">current </w:t>
      </w:r>
      <w:r w:rsidR="0093667B">
        <w:t>market expectations about the discounted future cash flows of the instrument</w:t>
      </w:r>
      <w:r w:rsidR="00E15888">
        <w:t>, f</w:t>
      </w:r>
      <w:r w:rsidR="00B864DE">
        <w:t>air values</w:t>
      </w:r>
      <w:r w:rsidR="00C23266">
        <w:t xml:space="preserve"> </w:t>
      </w:r>
      <w:r w:rsidR="0093667B">
        <w:t xml:space="preserve">reflect </w:t>
      </w:r>
      <w:r w:rsidR="00B864DE">
        <w:t>liquidity</w:t>
      </w:r>
      <w:r w:rsidR="0093667B" w:rsidRPr="007D14E8">
        <w:t xml:space="preserve"> </w:t>
      </w:r>
      <w:r w:rsidR="00761674">
        <w:t xml:space="preserve">risk </w:t>
      </w:r>
      <w:r w:rsidR="00DF4375">
        <w:t>and interest rate risk</w:t>
      </w:r>
      <w:r w:rsidR="00C23266">
        <w:t xml:space="preserve"> </w:t>
      </w:r>
      <w:r w:rsidR="0071354F">
        <w:t>as well as credit risk of the financial i</w:t>
      </w:r>
      <w:r w:rsidR="00C23266">
        <w:t>nstrument</w:t>
      </w:r>
      <w:r w:rsidR="00646505">
        <w:t xml:space="preserve">. </w:t>
      </w:r>
      <w:r w:rsidR="006203CA">
        <w:t>If</w:t>
      </w:r>
      <w:r w:rsidR="00281240">
        <w:t xml:space="preserve"> </w:t>
      </w:r>
      <w:r w:rsidR="00994559">
        <w:t xml:space="preserve">the </w:t>
      </w:r>
      <w:r w:rsidR="00281240">
        <w:t xml:space="preserve">liquidity risk </w:t>
      </w:r>
      <w:r w:rsidR="006203CA">
        <w:t>of a bank’s portfolio of financial instruments</w:t>
      </w:r>
      <w:r w:rsidR="00281240">
        <w:t xml:space="preserve"> </w:t>
      </w:r>
      <w:r w:rsidR="006203CA">
        <w:t>swamp</w:t>
      </w:r>
      <w:r w:rsidR="001A6127">
        <w:t>s</w:t>
      </w:r>
      <w:r w:rsidR="006203CA">
        <w:t xml:space="preserve"> the credit risk of the portfolio</w:t>
      </w:r>
      <w:r w:rsidR="00E15888">
        <w:t>,</w:t>
      </w:r>
      <w:r w:rsidR="006203CA">
        <w:t xml:space="preserve"> </w:t>
      </w:r>
      <w:r w:rsidR="001A6127">
        <w:t xml:space="preserve">and </w:t>
      </w:r>
      <w:r w:rsidR="00E15888">
        <w:t xml:space="preserve">the </w:t>
      </w:r>
      <w:r w:rsidR="002D6196">
        <w:t>liquidity risk</w:t>
      </w:r>
      <w:r w:rsidR="001A6127">
        <w:t xml:space="preserve"> </w:t>
      </w:r>
      <w:r w:rsidR="00DF4375">
        <w:t>is</w:t>
      </w:r>
      <w:r w:rsidR="001A6127">
        <w:t xml:space="preserve"> not important </w:t>
      </w:r>
      <w:r w:rsidR="00761674">
        <w:t>because of</w:t>
      </w:r>
      <w:r w:rsidR="001A6127">
        <w:t xml:space="preserve"> the non-traded nature of </w:t>
      </w:r>
      <w:r w:rsidR="00E15888">
        <w:t xml:space="preserve">the </w:t>
      </w:r>
      <w:r w:rsidR="001A6127">
        <w:t xml:space="preserve">bank’s financial instruments, </w:t>
      </w:r>
      <w:r w:rsidR="006203CA">
        <w:t xml:space="preserve">then </w:t>
      </w:r>
      <w:r w:rsidR="001A6127">
        <w:t xml:space="preserve">including </w:t>
      </w:r>
      <w:r w:rsidR="00951158">
        <w:t xml:space="preserve">more </w:t>
      </w:r>
      <w:r w:rsidR="006203CA">
        <w:t xml:space="preserve">fair values </w:t>
      </w:r>
      <w:r w:rsidR="001A6127">
        <w:t xml:space="preserve">in the leverage ratio </w:t>
      </w:r>
      <w:r w:rsidR="006203CA">
        <w:t xml:space="preserve">may </w:t>
      </w:r>
      <w:r w:rsidR="00E15888">
        <w:t>reduce its ability to reflect bank credit risk</w:t>
      </w:r>
      <w:r w:rsidR="00646505">
        <w:t xml:space="preserve">. </w:t>
      </w:r>
      <w:r w:rsidR="00E15888">
        <w:t xml:space="preserve">Similarly, </w:t>
      </w:r>
      <w:r w:rsidR="00994559">
        <w:t xml:space="preserve">because credit </w:t>
      </w:r>
      <w:r w:rsidR="00E15888">
        <w:t>spreads</w:t>
      </w:r>
      <w:r w:rsidR="00994559">
        <w:t xml:space="preserve"> and interest rate</w:t>
      </w:r>
      <w:r w:rsidR="00E15888">
        <w:t>s</w:t>
      </w:r>
      <w:r w:rsidR="00994559">
        <w:t xml:space="preserve"> </w:t>
      </w:r>
      <w:r w:rsidR="003C0A54">
        <w:t xml:space="preserve">generally </w:t>
      </w:r>
      <w:r w:rsidR="00994559">
        <w:t xml:space="preserve">move in opposite directions (see </w:t>
      </w:r>
      <w:proofErr w:type="spellStart"/>
      <w:r w:rsidR="00994559">
        <w:t>Duffee</w:t>
      </w:r>
      <w:proofErr w:type="spellEnd"/>
      <w:r w:rsidR="00994559">
        <w:t xml:space="preserve"> 1998 and Christiansen 2002), if </w:t>
      </w:r>
      <w:r w:rsidR="0059666B">
        <w:t xml:space="preserve">changes in </w:t>
      </w:r>
      <w:r w:rsidR="00446D04">
        <w:t xml:space="preserve">fair </w:t>
      </w:r>
      <w:r w:rsidR="00A76F3C">
        <w:t xml:space="preserve">value due to </w:t>
      </w:r>
      <w:r w:rsidR="00DF4375">
        <w:t>interest rate risk swamp</w:t>
      </w:r>
      <w:r w:rsidR="00C40E60">
        <w:t xml:space="preserve"> </w:t>
      </w:r>
      <w:r w:rsidR="0059666B">
        <w:t xml:space="preserve">changes </w:t>
      </w:r>
      <w:r w:rsidR="00A76F3C">
        <w:t>due to the</w:t>
      </w:r>
      <w:r w:rsidR="00DF4375">
        <w:t xml:space="preserve"> credit risk</w:t>
      </w:r>
      <w:r w:rsidR="00C40E60">
        <w:t xml:space="preserve"> of a bank’s portfolio</w:t>
      </w:r>
      <w:r w:rsidR="00A76F3C">
        <w:t>,</w:t>
      </w:r>
      <w:r w:rsidR="00DF4375">
        <w:t xml:space="preserve"> </w:t>
      </w:r>
      <w:r w:rsidR="00994559">
        <w:t>then</w:t>
      </w:r>
      <w:r w:rsidR="00C40E60">
        <w:t xml:space="preserve"> </w:t>
      </w:r>
      <w:r w:rsidR="00140AE2">
        <w:t xml:space="preserve">a </w:t>
      </w:r>
      <w:r w:rsidR="00C40E60">
        <w:t xml:space="preserve">fair value leverage </w:t>
      </w:r>
      <w:r w:rsidR="001E2447">
        <w:t xml:space="preserve">ratio </w:t>
      </w:r>
      <w:r w:rsidR="00994559">
        <w:t>may be a</w:t>
      </w:r>
      <w:r w:rsidR="00C40E60">
        <w:t xml:space="preserve"> poor </w:t>
      </w:r>
      <w:r w:rsidR="00A76F3C">
        <w:t xml:space="preserve">measure </w:t>
      </w:r>
      <w:r w:rsidR="00C40E60">
        <w:t xml:space="preserve">of </w:t>
      </w:r>
      <w:r w:rsidR="00701291">
        <w:t>a</w:t>
      </w:r>
      <w:r w:rsidR="00C40E60">
        <w:t xml:space="preserve"> bank’s credit risk.</w:t>
      </w:r>
      <w:r w:rsidR="00C608B5">
        <w:rPr>
          <w:rStyle w:val="FootnoteReference"/>
        </w:rPr>
        <w:footnoteReference w:id="2"/>
      </w:r>
    </w:p>
    <w:p w:rsidR="00475D83" w:rsidRDefault="00475D83" w:rsidP="0093667B">
      <w:pPr>
        <w:spacing w:line="480" w:lineRule="auto"/>
        <w:ind w:firstLine="720"/>
      </w:pPr>
      <w:r>
        <w:lastRenderedPageBreak/>
        <w:t xml:space="preserve">Another reason </w:t>
      </w:r>
      <w:r w:rsidR="00140AE2">
        <w:t xml:space="preserve">a </w:t>
      </w:r>
      <w:r>
        <w:t>fair value</w:t>
      </w:r>
      <w:r w:rsidR="006568B1">
        <w:t xml:space="preserve"> </w:t>
      </w:r>
      <w:r>
        <w:t>leverage ratio may not dominate GAAP</w:t>
      </w:r>
      <w:r w:rsidR="00140AE2">
        <w:t xml:space="preserve"> or Tier 1</w:t>
      </w:r>
      <w:r>
        <w:t xml:space="preserve"> leverage ratios in explaining bank credit risk is </w:t>
      </w:r>
      <w:r w:rsidR="00A76F3C">
        <w:t xml:space="preserve">that </w:t>
      </w:r>
      <w:r w:rsidR="00140AE2">
        <w:t>these</w:t>
      </w:r>
      <w:r w:rsidR="00A02833">
        <w:t xml:space="preserve"> two la</w:t>
      </w:r>
      <w:r w:rsidR="00A767AF">
        <w:t>t</w:t>
      </w:r>
      <w:r w:rsidR="00A02833">
        <w:t>ter</w:t>
      </w:r>
      <w:r w:rsidR="00140AE2">
        <w:t xml:space="preserve"> ratios</w:t>
      </w:r>
      <w:r w:rsidR="00701291">
        <w:t xml:space="preserve"> reflect credit risk as estimated by management. </w:t>
      </w:r>
      <w:r w:rsidR="00532535">
        <w:t>For example, under GAAP and Tier 1</w:t>
      </w:r>
      <w:r w:rsidR="00885C07">
        <w:t xml:space="preserve"> capital</w:t>
      </w:r>
      <w:r w:rsidR="001A41B5">
        <w:t>,</w:t>
      </w:r>
      <w:r w:rsidR="00532535">
        <w:t xml:space="preserve"> </w:t>
      </w:r>
      <w:r>
        <w:t>loans</w:t>
      </w:r>
      <w:r w:rsidR="00F17C92">
        <w:t xml:space="preserve"> made by banks</w:t>
      </w:r>
      <w:r>
        <w:t xml:space="preserve"> are </w:t>
      </w:r>
      <w:r w:rsidR="00951158">
        <w:t>recognized</w:t>
      </w:r>
      <w:r>
        <w:t xml:space="preserve"> at net realizable value</w:t>
      </w:r>
      <w:r w:rsidR="00F17C92">
        <w:t xml:space="preserve">, </w:t>
      </w:r>
      <w:r w:rsidR="00951158">
        <w:t>which reflects</w:t>
      </w:r>
      <w:r w:rsidR="00F17C92">
        <w:t xml:space="preserve"> </w:t>
      </w:r>
      <w:r w:rsidR="00951158">
        <w:t xml:space="preserve">management’s estimate of credit risk via </w:t>
      </w:r>
      <w:r w:rsidR="00F17C92">
        <w:t>a loan loss provision</w:t>
      </w:r>
      <w:r w:rsidR="00646505">
        <w:t xml:space="preserve">. </w:t>
      </w:r>
      <w:r>
        <w:t>To the extent that bank management is better than the market</w:t>
      </w:r>
      <w:r w:rsidR="00F17C92">
        <w:t xml:space="preserve"> </w:t>
      </w:r>
      <w:r w:rsidR="00951158">
        <w:t>at assessing the credit risk of loan</w:t>
      </w:r>
      <w:r w:rsidR="000D4530">
        <w:t>s and other financial assets</w:t>
      </w:r>
      <w:r>
        <w:t xml:space="preserve">, leverage measured with </w:t>
      </w:r>
      <w:r w:rsidR="00140AE2">
        <w:t>management’s estimate of net realizable value</w:t>
      </w:r>
      <w:r>
        <w:t xml:space="preserve"> may better reflect a bank’s </w:t>
      </w:r>
      <w:r w:rsidR="00A531E2">
        <w:t xml:space="preserve">credit </w:t>
      </w:r>
      <w:r>
        <w:t xml:space="preserve">risk than leverage measured </w:t>
      </w:r>
      <w:r w:rsidR="00A02833">
        <w:t xml:space="preserve">at </w:t>
      </w:r>
      <w:r>
        <w:t>fair value.</w:t>
      </w:r>
    </w:p>
    <w:p w:rsidR="001002FA" w:rsidRDefault="00A97BEC" w:rsidP="000F6959">
      <w:pPr>
        <w:spacing w:line="480" w:lineRule="auto"/>
        <w:ind w:firstLine="720"/>
      </w:pPr>
      <w:r>
        <w:t xml:space="preserve">We rely on the commonly used </w:t>
      </w:r>
      <w:r w:rsidR="005B0867">
        <w:t>tangible common equity</w:t>
      </w:r>
      <w:r w:rsidR="002639CB">
        <w:t xml:space="preserve"> (TCE)</w:t>
      </w:r>
      <w:r w:rsidR="005B0867">
        <w:t xml:space="preserve"> approach to </w:t>
      </w:r>
      <w:r w:rsidR="00DF35C8">
        <w:t xml:space="preserve">measure </w:t>
      </w:r>
      <w:r w:rsidR="005B0867">
        <w:t>leverage</w:t>
      </w:r>
      <w:r w:rsidR="00E834A2">
        <w:t>, where</w:t>
      </w:r>
      <w:r w:rsidR="005B0867">
        <w:t xml:space="preserve"> </w:t>
      </w:r>
      <w:r w:rsidR="00E834A2">
        <w:t>t</w:t>
      </w:r>
      <w:r w:rsidR="00235A2F">
        <w:t>he TCE-based leverage ratio is calculated as (assets − intangible assets + mortgage servicing rights) / (assets - intangible assets + mortgage servicing rights − liabilities − preferred stock).</w:t>
      </w:r>
      <w:r w:rsidR="00AB31E5">
        <w:t xml:space="preserve"> </w:t>
      </w:r>
      <w:r w:rsidR="00A108F5">
        <w:t>W</w:t>
      </w:r>
      <w:r w:rsidR="00E8394D">
        <w:t xml:space="preserve">e </w:t>
      </w:r>
      <w:r w:rsidR="005B0867">
        <w:t>then vary how we measure the financial instruments</w:t>
      </w:r>
      <w:r w:rsidR="00E8394D">
        <w:t xml:space="preserve"> </w:t>
      </w:r>
      <w:r w:rsidR="00A108F5">
        <w:t xml:space="preserve">by </w:t>
      </w:r>
      <w:r w:rsidR="00E8394D">
        <w:t>includ</w:t>
      </w:r>
      <w:r w:rsidR="00A108F5">
        <w:t>ing</w:t>
      </w:r>
      <w:r w:rsidR="001002FA">
        <w:t xml:space="preserve"> financial instruments</w:t>
      </w:r>
      <w:r w:rsidR="00037F00">
        <w:t xml:space="preserve"> measured</w:t>
      </w:r>
      <w:r w:rsidR="00E8394D">
        <w:t xml:space="preserve"> </w:t>
      </w:r>
      <w:r w:rsidR="00A108F5">
        <w:t xml:space="preserve">at </w:t>
      </w:r>
      <w:r w:rsidR="001002FA">
        <w:t>1) fair value</w:t>
      </w:r>
      <w:r w:rsidR="002848A9">
        <w:t>;</w:t>
      </w:r>
      <w:r w:rsidR="00B26A37">
        <w:t xml:space="preserve"> 2</w:t>
      </w:r>
      <w:r w:rsidR="002848A9">
        <w:t xml:space="preserve">) </w:t>
      </w:r>
      <w:r w:rsidR="005B0867">
        <w:t>GAAP</w:t>
      </w:r>
      <w:r w:rsidR="00A47669">
        <w:t xml:space="preserve">; and </w:t>
      </w:r>
      <w:r w:rsidR="00B26A37">
        <w:t>3</w:t>
      </w:r>
      <w:r w:rsidR="00A47669">
        <w:t xml:space="preserve">) </w:t>
      </w:r>
      <w:r w:rsidR="001002FA">
        <w:t>Tier 1 capital.</w:t>
      </w:r>
      <w:r w:rsidR="00A47669">
        <w:rPr>
          <w:rStyle w:val="FootnoteReference"/>
        </w:rPr>
        <w:footnoteReference w:id="3"/>
      </w:r>
      <w:r w:rsidR="001002FA">
        <w:t xml:space="preserve">  The credit r</w:t>
      </w:r>
      <w:r w:rsidR="00265E8A">
        <w:t xml:space="preserve">isk measures we consider are </w:t>
      </w:r>
      <w:r w:rsidR="001002FA">
        <w:t>bank bond yield spread</w:t>
      </w:r>
      <w:r w:rsidR="00885C07">
        <w:t>s</w:t>
      </w:r>
      <w:r w:rsidR="002848A9">
        <w:t xml:space="preserve"> and </w:t>
      </w:r>
      <w:r w:rsidR="000667C0">
        <w:t xml:space="preserve">bank </w:t>
      </w:r>
      <w:r w:rsidR="00265E8A">
        <w:t>failure</w:t>
      </w:r>
      <w:r w:rsidR="001002FA">
        <w:t xml:space="preserve">. </w:t>
      </w:r>
      <w:r w:rsidR="007E6E88">
        <w:t>Prior research has shown that the yield spread widens as the credit risk of the security increases</w:t>
      </w:r>
      <w:r w:rsidR="00FA632F">
        <w:t>,</w:t>
      </w:r>
      <w:r w:rsidR="007E6E88">
        <w:t xml:space="preserve"> and bank failure is the ultimate consequence of high credit risk</w:t>
      </w:r>
      <w:r w:rsidR="00EE27A3">
        <w:t xml:space="preserve">, as demonstrated in the most </w:t>
      </w:r>
      <w:r w:rsidR="000D4530">
        <w:t>recent banking crisi</w:t>
      </w:r>
      <w:r w:rsidR="00EE27A3">
        <w:t>s</w:t>
      </w:r>
      <w:r w:rsidR="007E6E88">
        <w:t xml:space="preserve">. </w:t>
      </w:r>
    </w:p>
    <w:p w:rsidR="00D64087" w:rsidRDefault="001002FA" w:rsidP="00D64087">
      <w:pPr>
        <w:spacing w:line="480" w:lineRule="auto"/>
        <w:ind w:firstLine="720"/>
      </w:pPr>
      <w:r>
        <w:t xml:space="preserve">For </w:t>
      </w:r>
      <w:r w:rsidR="002F2828">
        <w:t>bank</w:t>
      </w:r>
      <w:r w:rsidR="00F96F60">
        <w:t xml:space="preserve"> bond yield spread</w:t>
      </w:r>
      <w:r w:rsidR="003C0A54">
        <w:t>s</w:t>
      </w:r>
      <w:r w:rsidR="00F96F60">
        <w:t xml:space="preserve">, </w:t>
      </w:r>
      <w:r>
        <w:t xml:space="preserve">our tests on </w:t>
      </w:r>
      <w:r w:rsidR="00265E8A">
        <w:t>80,393</w:t>
      </w:r>
      <w:r w:rsidR="002F2828">
        <w:t xml:space="preserve"> observations </w:t>
      </w:r>
      <w:r w:rsidR="00446D04">
        <w:t xml:space="preserve">for </w:t>
      </w:r>
      <w:r w:rsidR="002F2828">
        <w:t>46</w:t>
      </w:r>
      <w:r w:rsidR="007740D5">
        <w:t xml:space="preserve"> </w:t>
      </w:r>
      <w:r>
        <w:t>bank</w:t>
      </w:r>
      <w:r w:rsidR="002F2828">
        <w:t>s with</w:t>
      </w:r>
      <w:r>
        <w:t xml:space="preserve"> </w:t>
      </w:r>
      <w:r w:rsidR="00A76F3C">
        <w:t>1,</w:t>
      </w:r>
      <w:r w:rsidR="002F2828">
        <w:t>86</w:t>
      </w:r>
      <w:r w:rsidR="00265E8A">
        <w:t>1</w:t>
      </w:r>
      <w:r w:rsidR="007740D5">
        <w:t xml:space="preserve"> </w:t>
      </w:r>
      <w:r>
        <w:t xml:space="preserve">bonds </w:t>
      </w:r>
      <w:r w:rsidR="002A393E">
        <w:t xml:space="preserve">issued from 1998 through 2010 and </w:t>
      </w:r>
      <w:r>
        <w:t xml:space="preserve">traded from </w:t>
      </w:r>
      <w:r w:rsidR="002F2828">
        <w:t>2002</w:t>
      </w:r>
      <w:r w:rsidR="007740D5">
        <w:t xml:space="preserve"> </w:t>
      </w:r>
      <w:r>
        <w:t>through 20</w:t>
      </w:r>
      <w:r w:rsidR="002F2828">
        <w:t>10</w:t>
      </w:r>
      <w:r>
        <w:t xml:space="preserve"> demonstrate that fair value leverage explain</w:t>
      </w:r>
      <w:r w:rsidR="00265E8A">
        <w:t>s</w:t>
      </w:r>
      <w:r>
        <w:t xml:space="preserve"> bank</w:t>
      </w:r>
      <w:r w:rsidR="00F96F60">
        <w:t>-</w:t>
      </w:r>
      <w:r>
        <w:t>specific bond yield spreads significantly better than</w:t>
      </w:r>
      <w:r w:rsidR="002F2828">
        <w:t xml:space="preserve"> </w:t>
      </w:r>
      <w:r w:rsidR="004E080C">
        <w:t>GAAP and Tier 1</w:t>
      </w:r>
      <w:r w:rsidR="002F2828">
        <w:t xml:space="preserve"> </w:t>
      </w:r>
      <w:r w:rsidR="00DE5B15">
        <w:t>leverage</w:t>
      </w:r>
      <w:r w:rsidR="00CD6B59">
        <w:t xml:space="preserve"> in both univariate and multivariate analyses</w:t>
      </w:r>
      <w:r w:rsidR="00646505">
        <w:t xml:space="preserve">. </w:t>
      </w:r>
      <w:r>
        <w:t xml:space="preserve">The increase in explanatory power </w:t>
      </w:r>
      <w:r w:rsidR="00125AAF">
        <w:t xml:space="preserve">over GAAP and Tier 1 leverage </w:t>
      </w:r>
      <w:r>
        <w:t xml:space="preserve">is </w:t>
      </w:r>
      <w:r w:rsidR="00A65FCD">
        <w:t>quite large</w:t>
      </w:r>
      <w:r w:rsidR="00646505">
        <w:t xml:space="preserve">. </w:t>
      </w:r>
      <w:r>
        <w:t xml:space="preserve">For example, the </w:t>
      </w:r>
      <w:r w:rsidR="007740D5">
        <w:t>univariate correlation between</w:t>
      </w:r>
      <w:r>
        <w:t xml:space="preserve"> </w:t>
      </w:r>
      <w:r>
        <w:lastRenderedPageBreak/>
        <w:t xml:space="preserve">bond </w:t>
      </w:r>
      <w:proofErr w:type="gramStart"/>
      <w:r>
        <w:t>yield</w:t>
      </w:r>
      <w:proofErr w:type="gramEnd"/>
      <w:r>
        <w:t xml:space="preserve"> </w:t>
      </w:r>
      <w:r w:rsidR="007740D5">
        <w:t xml:space="preserve">spreads and leverage is </w:t>
      </w:r>
      <w:r w:rsidR="00B15B55">
        <w:t xml:space="preserve">at least </w:t>
      </w:r>
      <w:r w:rsidR="00CD6B59">
        <w:t>25</w:t>
      </w:r>
      <w:r w:rsidR="007924A6">
        <w:t xml:space="preserve"> percent</w:t>
      </w:r>
      <w:r w:rsidR="007740D5">
        <w:t xml:space="preserve"> greater </w:t>
      </w:r>
      <w:r w:rsidR="00B15B55">
        <w:t>using</w:t>
      </w:r>
      <w:r w:rsidR="007740D5">
        <w:t xml:space="preserve"> fair value leverage </w:t>
      </w:r>
      <w:r w:rsidR="00885C07">
        <w:t>as compared to</w:t>
      </w:r>
      <w:r w:rsidR="007740D5">
        <w:t xml:space="preserve"> </w:t>
      </w:r>
      <w:r>
        <w:t>GAAP</w:t>
      </w:r>
      <w:r w:rsidR="0091556A">
        <w:t xml:space="preserve"> </w:t>
      </w:r>
      <w:r w:rsidR="002D5CAB">
        <w:t>or Tier</w:t>
      </w:r>
      <w:r w:rsidR="00446D04">
        <w:t xml:space="preserve"> </w:t>
      </w:r>
      <w:r w:rsidR="002D5CAB">
        <w:t>1 leverage</w:t>
      </w:r>
      <w:r w:rsidR="00646505">
        <w:t xml:space="preserve">. </w:t>
      </w:r>
      <w:r w:rsidR="00AD50F3">
        <w:t>Further analysis demonstrates that the additional explanatory power of fair value derives</w:t>
      </w:r>
      <w:r w:rsidR="00BF0EC7">
        <w:t xml:space="preserve"> primarily </w:t>
      </w:r>
      <w:r w:rsidR="00AD50F3">
        <w:t>from fair valuing loans and deposits.</w:t>
      </w:r>
      <w:r w:rsidR="00D64087" w:rsidRPr="00D64087">
        <w:t xml:space="preserve"> </w:t>
      </w:r>
      <w:r w:rsidR="00D64087">
        <w:t xml:space="preserve">In addition, cross-sectional and time-series analyses indicate that results hold for both complex banks and banks with more traditional books of business and within both the expansionary and recessionary phase of our test period, with the strongest results being for banks with more traditional books of business and during the recessionary phase of the most recent cycle. </w:t>
      </w:r>
    </w:p>
    <w:p w:rsidR="005D1F86" w:rsidRDefault="00823A10" w:rsidP="00A84B1D">
      <w:pPr>
        <w:spacing w:line="480" w:lineRule="auto"/>
        <w:ind w:firstLine="720"/>
      </w:pPr>
      <w:r>
        <w:t xml:space="preserve">Our tests of </w:t>
      </w:r>
      <w:r w:rsidR="004E080C">
        <w:t xml:space="preserve">bank </w:t>
      </w:r>
      <w:r w:rsidR="00F16C41">
        <w:t>failure</w:t>
      </w:r>
      <w:r>
        <w:t xml:space="preserve"> on</w:t>
      </w:r>
      <w:r w:rsidR="004E080C">
        <w:t xml:space="preserve"> approximately </w:t>
      </w:r>
      <w:r w:rsidR="00B75E5C">
        <w:t>7,000</w:t>
      </w:r>
      <w:r w:rsidR="004E080C">
        <w:t xml:space="preserve"> observations </w:t>
      </w:r>
      <w:r w:rsidR="00446D04">
        <w:t xml:space="preserve">for </w:t>
      </w:r>
      <w:r w:rsidR="004E080C">
        <w:t>1,06</w:t>
      </w:r>
      <w:r w:rsidR="00B75E5C">
        <w:t>7</w:t>
      </w:r>
      <w:r w:rsidR="004E080C">
        <w:t xml:space="preserve"> banks from 1997</w:t>
      </w:r>
      <w:r w:rsidR="00861881">
        <w:t xml:space="preserve"> through </w:t>
      </w:r>
      <w:r w:rsidR="004E080C">
        <w:t xml:space="preserve">2009 demonstrate that </w:t>
      </w:r>
      <w:r w:rsidR="00E065E5">
        <w:t xml:space="preserve">in </w:t>
      </w:r>
      <w:r w:rsidR="00C57796">
        <w:t xml:space="preserve">the year just prior to </w:t>
      </w:r>
      <w:r w:rsidR="00F16C41">
        <w:t>failure</w:t>
      </w:r>
      <w:r w:rsidR="00C57796">
        <w:t xml:space="preserve">, </w:t>
      </w:r>
      <w:r w:rsidR="00B75E5C">
        <w:t>our three</w:t>
      </w:r>
      <w:r w:rsidR="00C57796">
        <w:t xml:space="preserve"> leverage measures have similar predictive power</w:t>
      </w:r>
      <w:r w:rsidR="00646505">
        <w:t xml:space="preserve">. </w:t>
      </w:r>
      <w:r w:rsidR="00C57796">
        <w:t xml:space="preserve">But </w:t>
      </w:r>
      <w:r w:rsidR="002155C5">
        <w:t xml:space="preserve">both </w:t>
      </w:r>
      <w:r w:rsidR="00E065E5">
        <w:t xml:space="preserve">two </w:t>
      </w:r>
      <w:r w:rsidR="001452FC">
        <w:t xml:space="preserve">years </w:t>
      </w:r>
      <w:r w:rsidR="002155C5">
        <w:t xml:space="preserve">and </w:t>
      </w:r>
      <w:r w:rsidR="00E065E5">
        <w:t>three</w:t>
      </w:r>
      <w:r w:rsidR="004E080C">
        <w:t xml:space="preserve"> years before </w:t>
      </w:r>
      <w:r w:rsidR="00F16C41">
        <w:t>failure</w:t>
      </w:r>
      <w:r w:rsidR="006D6B7C">
        <w:t>,</w:t>
      </w:r>
      <w:r w:rsidR="00E065E5">
        <w:t xml:space="preserve"> fair value leverage dominates the </w:t>
      </w:r>
      <w:r w:rsidR="00B75E5C">
        <w:t xml:space="preserve">two </w:t>
      </w:r>
      <w:r w:rsidR="00E065E5">
        <w:t xml:space="preserve">other leverage measures in predicting </w:t>
      </w:r>
      <w:r w:rsidR="00F16C41">
        <w:t xml:space="preserve">failure </w:t>
      </w:r>
      <w:r w:rsidR="00A65FCD">
        <w:t xml:space="preserve">in both univariate analysis </w:t>
      </w:r>
      <w:r w:rsidR="002639CB">
        <w:t>and in a multiva</w:t>
      </w:r>
      <w:r w:rsidR="002155C5">
        <w:t xml:space="preserve">riate analysis with controls for other financial statement variables known to be associated with bank </w:t>
      </w:r>
      <w:r w:rsidR="00F16C41">
        <w:t>failure</w:t>
      </w:r>
      <w:r w:rsidR="00646505">
        <w:t xml:space="preserve">. </w:t>
      </w:r>
      <w:r w:rsidR="00913A16">
        <w:t xml:space="preserve">This demonstrates that </w:t>
      </w:r>
      <w:r w:rsidR="00C57796">
        <w:t xml:space="preserve">leverage based on </w:t>
      </w:r>
      <w:r w:rsidR="00946213">
        <w:t>fair values</w:t>
      </w:r>
      <w:r w:rsidR="00A47669">
        <w:t xml:space="preserve"> </w:t>
      </w:r>
      <w:r w:rsidR="00946213">
        <w:t>provide</w:t>
      </w:r>
      <w:r w:rsidR="00913A16">
        <w:t>s</w:t>
      </w:r>
      <w:r w:rsidR="00946213">
        <w:t xml:space="preserve"> </w:t>
      </w:r>
      <w:r w:rsidR="00532535">
        <w:t>the earliest</w:t>
      </w:r>
      <w:r w:rsidR="00946213">
        <w:t xml:space="preserve"> </w:t>
      </w:r>
      <w:r w:rsidR="00913A16">
        <w:t xml:space="preserve">signal </w:t>
      </w:r>
      <w:r w:rsidR="00946213">
        <w:t>of financial trouble</w:t>
      </w:r>
      <w:r w:rsidR="00646505">
        <w:t xml:space="preserve">. </w:t>
      </w:r>
      <w:r w:rsidR="003C74D7">
        <w:t xml:space="preserve">This finding is </w:t>
      </w:r>
      <w:r w:rsidR="00946213">
        <w:t xml:space="preserve">consistent </w:t>
      </w:r>
      <w:r w:rsidR="006D6B7C">
        <w:t xml:space="preserve">with </w:t>
      </w:r>
      <w:r w:rsidR="003C74D7">
        <w:t>the</w:t>
      </w:r>
      <w:r w:rsidR="00946213">
        <w:t xml:space="preserve"> theoretical model developed by </w:t>
      </w:r>
      <w:proofErr w:type="spellStart"/>
      <w:r w:rsidR="00946213">
        <w:t>Bleck</w:t>
      </w:r>
      <w:proofErr w:type="spellEnd"/>
      <w:r w:rsidR="00946213">
        <w:t xml:space="preserve"> and Liu (2007)</w:t>
      </w:r>
      <w:r w:rsidR="003C74D7">
        <w:t xml:space="preserve"> that </w:t>
      </w:r>
      <w:r w:rsidR="00C57796">
        <w:t>shows that historical costs can mask a firm’s true economic performance</w:t>
      </w:r>
      <w:r w:rsidR="001452FC">
        <w:t>,</w:t>
      </w:r>
      <w:r w:rsidR="00C57796">
        <w:t xml:space="preserve"> while fair values can prov</w:t>
      </w:r>
      <w:r w:rsidR="00913A16">
        <w:t>ide an earlier</w:t>
      </w:r>
      <w:r w:rsidR="00C57796">
        <w:t xml:space="preserve"> warning</w:t>
      </w:r>
      <w:r w:rsidR="00F3730C">
        <w:t xml:space="preserve"> of poor performance</w:t>
      </w:r>
      <w:r w:rsidR="00C57796">
        <w:t>.</w:t>
      </w:r>
      <w:r w:rsidR="00946213">
        <w:t xml:space="preserve"> </w:t>
      </w:r>
      <w:r w:rsidR="00087243" w:rsidRPr="002155C5">
        <w:t>Overall,</w:t>
      </w:r>
      <w:r w:rsidR="00087243">
        <w:t xml:space="preserve"> o</w:t>
      </w:r>
      <w:r w:rsidR="00C85D27">
        <w:t xml:space="preserve">ur results suggest </w:t>
      </w:r>
      <w:r w:rsidR="00A76F3C">
        <w:t xml:space="preserve">that </w:t>
      </w:r>
      <w:r w:rsidR="00951158">
        <w:t>recognizing</w:t>
      </w:r>
      <w:r w:rsidR="00C85D27">
        <w:t xml:space="preserve"> </w:t>
      </w:r>
      <w:r w:rsidR="004C7629">
        <w:t>financial instruments</w:t>
      </w:r>
      <w:r w:rsidR="00A63327">
        <w:t xml:space="preserve"> at fair value</w:t>
      </w:r>
      <w:r w:rsidR="00B338F4">
        <w:t xml:space="preserve">, especially </w:t>
      </w:r>
      <w:r w:rsidR="00B75E5C">
        <w:t xml:space="preserve">loans and deposits, </w:t>
      </w:r>
      <w:r w:rsidR="00C85D27">
        <w:t>result</w:t>
      </w:r>
      <w:r>
        <w:t>s</w:t>
      </w:r>
      <w:r w:rsidR="00C85D27">
        <w:t xml:space="preserve"> in</w:t>
      </w:r>
      <w:r>
        <w:t xml:space="preserve"> </w:t>
      </w:r>
      <w:r w:rsidR="00DE5B15">
        <w:t>a balance sheet</w:t>
      </w:r>
      <w:r w:rsidR="001E2447">
        <w:t xml:space="preserve"> </w:t>
      </w:r>
      <w:r w:rsidR="00C85D27">
        <w:t>that reflect</w:t>
      </w:r>
      <w:r w:rsidR="00DE5B15">
        <w:t>s</w:t>
      </w:r>
      <w:r w:rsidR="00C85D27">
        <w:t xml:space="preserve"> </w:t>
      </w:r>
      <w:r w:rsidR="002155C5">
        <w:t xml:space="preserve">the average </w:t>
      </w:r>
      <w:r w:rsidR="00087243">
        <w:t xml:space="preserve">bank’s </w:t>
      </w:r>
      <w:r w:rsidR="00C85D27">
        <w:t>credit risk</w:t>
      </w:r>
      <w:r w:rsidR="00DE5B15">
        <w:t xml:space="preserve"> better</w:t>
      </w:r>
      <w:r w:rsidR="00087243">
        <w:t xml:space="preserve"> than</w:t>
      </w:r>
      <w:r w:rsidR="001452FC">
        <w:t xml:space="preserve"> a</w:t>
      </w:r>
      <w:r w:rsidR="00087243">
        <w:t xml:space="preserve"> </w:t>
      </w:r>
      <w:r w:rsidR="00A63327">
        <w:t>more historical</w:t>
      </w:r>
      <w:r w:rsidR="00F96F60">
        <w:t>-</w:t>
      </w:r>
      <w:r w:rsidR="00A63327">
        <w:t>cost</w:t>
      </w:r>
      <w:r w:rsidR="00F96F60">
        <w:t>-</w:t>
      </w:r>
      <w:r w:rsidR="00A63327">
        <w:t xml:space="preserve">based </w:t>
      </w:r>
      <w:r w:rsidR="00DE5B15">
        <w:t>balance sheet</w:t>
      </w:r>
      <w:r w:rsidR="00646505">
        <w:t xml:space="preserve">. </w:t>
      </w:r>
    </w:p>
    <w:p w:rsidR="00595E71" w:rsidRDefault="00595E71" w:rsidP="00595E71">
      <w:pPr>
        <w:spacing w:line="480" w:lineRule="auto"/>
        <w:ind w:firstLine="720"/>
      </w:pPr>
      <w:r>
        <w:t>Our</w:t>
      </w:r>
      <w:r w:rsidR="00A65FCD">
        <w:t xml:space="preserve"> results, however, do not definitively imply </w:t>
      </w:r>
      <w:r>
        <w:t>that fair value accounting for financial inst</w:t>
      </w:r>
      <w:r w:rsidR="00DE5B15">
        <w:t>ruments</w:t>
      </w:r>
      <w:r w:rsidR="00951158">
        <w:t>, hereafter referred to as fair value accounting,</w:t>
      </w:r>
      <w:r w:rsidR="00DE5B15">
        <w:t xml:space="preserve"> is the preferred model </w:t>
      </w:r>
      <w:r>
        <w:t>for several reasons</w:t>
      </w:r>
      <w:r w:rsidR="00646505">
        <w:t xml:space="preserve">. </w:t>
      </w:r>
      <w:r>
        <w:t xml:space="preserve">First, our results speak </w:t>
      </w:r>
      <w:r w:rsidR="00CD6AC2">
        <w:t xml:space="preserve">only </w:t>
      </w:r>
      <w:r>
        <w:t xml:space="preserve">to credit risk; general purpose financial statements are expected to reflect many bank characteristics in addition to credit risk. </w:t>
      </w:r>
      <w:r w:rsidR="00885C07">
        <w:t>However, o</w:t>
      </w:r>
      <w:r w:rsidR="006A5D9C">
        <w:t xml:space="preserve">ur results </w:t>
      </w:r>
      <w:r w:rsidR="006A5D9C">
        <w:lastRenderedPageBreak/>
        <w:t>should be interpreted in light of p</w:t>
      </w:r>
      <w:r>
        <w:t xml:space="preserve">rior research </w:t>
      </w:r>
      <w:r w:rsidR="00256FB4">
        <w:t xml:space="preserve">that has </w:t>
      </w:r>
      <w:r>
        <w:t>addresse</w:t>
      </w:r>
      <w:r w:rsidR="00256FB4">
        <w:t>d</w:t>
      </w:r>
      <w:r>
        <w:t xml:space="preserve"> the incremental explanatory power of fair value</w:t>
      </w:r>
      <w:r w:rsidR="00DE5B15">
        <w:t>s</w:t>
      </w:r>
      <w:r>
        <w:t xml:space="preserve"> in equity markets where other types of risk play a different and potentially more important role.</w:t>
      </w:r>
      <w:r w:rsidR="006A5D9C">
        <w:rPr>
          <w:rStyle w:val="FootnoteReference"/>
        </w:rPr>
        <w:footnoteReference w:id="4"/>
      </w:r>
      <w:r>
        <w:t xml:space="preserve"> Second, our measures of fair values are</w:t>
      </w:r>
      <w:r w:rsidR="00885C07" w:rsidRPr="00885C07">
        <w:t xml:space="preserve"> </w:t>
      </w:r>
      <w:r w:rsidR="00885C07">
        <w:t>based</w:t>
      </w:r>
      <w:r>
        <w:t xml:space="preserve"> primarily on a combination of fair values that have been recognized and disclosed under the current mixed attribute model, and these are not necessarily the same fair values that would be recognized if fair value accounting were required by the FASB.</w:t>
      </w:r>
      <w:r>
        <w:rPr>
          <w:rStyle w:val="FootnoteReference"/>
        </w:rPr>
        <w:footnoteReference w:id="5"/>
      </w:r>
      <w:r>
        <w:t xml:space="preserve">  Third, our </w:t>
      </w:r>
      <w:r w:rsidR="00A65FCD">
        <w:t>tests cannot</w:t>
      </w:r>
      <w:r>
        <w:t xml:space="preserve"> answer three </w:t>
      </w:r>
      <w:r w:rsidR="00885C07">
        <w:t xml:space="preserve">additional </w:t>
      </w:r>
      <w:r>
        <w:t xml:space="preserve">important issues that are relevant to the debate: 1) whether fair value data or other data that </w:t>
      </w:r>
      <w:r w:rsidR="00CD6AC2">
        <w:t>are</w:t>
      </w:r>
      <w:r>
        <w:t xml:space="preserve"> correlated with fair values </w:t>
      </w:r>
      <w:r w:rsidR="00CD6AC2">
        <w:t>are</w:t>
      </w:r>
      <w:r>
        <w:t xml:space="preserve"> being used by tho</w:t>
      </w:r>
      <w:r w:rsidR="00A65FCD">
        <w:t>se that assess credit risk which follows</w:t>
      </w:r>
      <w:r>
        <w:t xml:space="preserve"> because we test for association, not causation;  2) whether fair value </w:t>
      </w:r>
      <w:r w:rsidR="00951158">
        <w:t xml:space="preserve">accounting </w:t>
      </w:r>
      <w:r>
        <w:t xml:space="preserve">would improve the accuracy or timeliness of the market’s assessment of credit risk; </w:t>
      </w:r>
      <w:r w:rsidR="006A5D9C">
        <w:t xml:space="preserve">and </w:t>
      </w:r>
      <w:r>
        <w:t xml:space="preserve">3) the potential for </w:t>
      </w:r>
      <w:proofErr w:type="spellStart"/>
      <w:r>
        <w:t>procyclical</w:t>
      </w:r>
      <w:proofErr w:type="spellEnd"/>
      <w:r>
        <w:t xml:space="preserve"> effects </w:t>
      </w:r>
      <w:r w:rsidR="00B518C1">
        <w:t>i</w:t>
      </w:r>
      <w:r w:rsidR="00951158">
        <w:t xml:space="preserve">f </w:t>
      </w:r>
      <w:r w:rsidR="00B518C1">
        <w:t xml:space="preserve">all financial instruments are measured at </w:t>
      </w:r>
      <w:r>
        <w:t xml:space="preserve">fair value for both external financial reporting and </w:t>
      </w:r>
      <w:r w:rsidR="00B518C1">
        <w:t xml:space="preserve">prudential </w:t>
      </w:r>
      <w:r w:rsidR="006A5D9C">
        <w:t>regulatory purposes</w:t>
      </w:r>
      <w:r>
        <w:t>.</w:t>
      </w:r>
    </w:p>
    <w:p w:rsidR="001002FA" w:rsidRDefault="001002FA" w:rsidP="000F6959">
      <w:pPr>
        <w:spacing w:line="480" w:lineRule="auto"/>
        <w:ind w:firstLine="720"/>
      </w:pPr>
      <w:r>
        <w:t xml:space="preserve">This paper proceeds as follows. The second section discusses the debate over fair value accounting and </w:t>
      </w:r>
      <w:r w:rsidR="003A1290">
        <w:t xml:space="preserve">motivates </w:t>
      </w:r>
      <w:r>
        <w:t xml:space="preserve">our research question regarding the relation between </w:t>
      </w:r>
      <w:r w:rsidR="003A1290">
        <w:t xml:space="preserve">credit risk and </w:t>
      </w:r>
      <w:r>
        <w:t xml:space="preserve">leverage </w:t>
      </w:r>
      <w:r w:rsidR="003A1290">
        <w:t>ratios</w:t>
      </w:r>
      <w:r w:rsidR="00E55603">
        <w:t xml:space="preserve"> </w:t>
      </w:r>
      <w:r w:rsidR="00750717">
        <w:t xml:space="preserve">measured </w:t>
      </w:r>
      <w:r w:rsidR="00E55603">
        <w:t>along the fair value continuum</w:t>
      </w:r>
      <w:r>
        <w:t xml:space="preserve">. The third section describes </w:t>
      </w:r>
      <w:r w:rsidR="001268DB">
        <w:t>the</w:t>
      </w:r>
      <w:r>
        <w:t xml:space="preserve"> </w:t>
      </w:r>
      <w:r w:rsidR="00CA59B1">
        <w:t>leverage ratios</w:t>
      </w:r>
      <w:r>
        <w:t xml:space="preserve">. The fourth section presents our tests of the association between our leverage </w:t>
      </w:r>
      <w:r w:rsidR="00CA59B1">
        <w:t xml:space="preserve">ratios </w:t>
      </w:r>
      <w:r>
        <w:t>and bank</w:t>
      </w:r>
      <w:r w:rsidR="001C0B2A">
        <w:t>-</w:t>
      </w:r>
      <w:r>
        <w:t>specific bond yield spreads</w:t>
      </w:r>
      <w:r w:rsidR="00815857">
        <w:t xml:space="preserve"> and </w:t>
      </w:r>
      <w:r w:rsidR="00446D04">
        <w:t>bank failure</w:t>
      </w:r>
      <w:r w:rsidR="00646505">
        <w:t xml:space="preserve">. </w:t>
      </w:r>
      <w:r w:rsidR="00815857">
        <w:t>T</w:t>
      </w:r>
      <w:r>
        <w:t>he last section concludes.</w:t>
      </w:r>
    </w:p>
    <w:p w:rsidR="001002FA" w:rsidRPr="004444C2" w:rsidRDefault="00700E3A" w:rsidP="00A12EE9">
      <w:pPr>
        <w:pStyle w:val="BodyTextIndent"/>
        <w:numPr>
          <w:ilvl w:val="0"/>
          <w:numId w:val="2"/>
        </w:numPr>
        <w:jc w:val="center"/>
        <w:rPr>
          <w:b/>
          <w:bCs/>
        </w:rPr>
      </w:pPr>
      <w:r>
        <w:rPr>
          <w:b/>
          <w:bCs/>
        </w:rPr>
        <w:t xml:space="preserve">FAIR VALUE </w:t>
      </w:r>
      <w:r w:rsidR="00596875">
        <w:rPr>
          <w:b/>
          <w:bCs/>
        </w:rPr>
        <w:t>ACCOUNTING</w:t>
      </w:r>
      <w:r>
        <w:rPr>
          <w:b/>
          <w:bCs/>
        </w:rPr>
        <w:t xml:space="preserve"> AND CREDIT RISK</w:t>
      </w:r>
    </w:p>
    <w:p w:rsidR="00E55603" w:rsidRPr="00E55603" w:rsidRDefault="00E55603" w:rsidP="00E55603">
      <w:pPr>
        <w:tabs>
          <w:tab w:val="left" w:pos="630"/>
        </w:tabs>
        <w:spacing w:line="480" w:lineRule="auto"/>
        <w:rPr>
          <w:b/>
        </w:rPr>
      </w:pPr>
      <w:r w:rsidRPr="00E55603">
        <w:rPr>
          <w:b/>
        </w:rPr>
        <w:t xml:space="preserve">Fair Value </w:t>
      </w:r>
      <w:r w:rsidR="00596875">
        <w:rPr>
          <w:b/>
        </w:rPr>
        <w:t xml:space="preserve">Accounting </w:t>
      </w:r>
      <w:r w:rsidRPr="00E55603">
        <w:rPr>
          <w:b/>
        </w:rPr>
        <w:t>Debate</w:t>
      </w:r>
    </w:p>
    <w:p w:rsidR="00345359" w:rsidRDefault="00016C8D" w:rsidP="00345359">
      <w:pPr>
        <w:tabs>
          <w:tab w:val="left" w:pos="630"/>
        </w:tabs>
        <w:spacing w:line="480" w:lineRule="auto"/>
        <w:ind w:firstLine="720"/>
      </w:pPr>
      <w:r>
        <w:lastRenderedPageBreak/>
        <w:t>Several parties currently</w:t>
      </w:r>
      <w:r w:rsidR="00345359" w:rsidRPr="00BE1AC4">
        <w:t xml:space="preserve"> </w:t>
      </w:r>
      <w:r w:rsidR="00345359">
        <w:t>support</w:t>
      </w:r>
      <w:r w:rsidR="00345359" w:rsidRPr="00BE1AC4">
        <w:t xml:space="preserve"> fair value accounting</w:t>
      </w:r>
      <w:r w:rsidR="00646505">
        <w:t xml:space="preserve">. </w:t>
      </w:r>
      <w:r w:rsidR="00345359">
        <w:t xml:space="preserve">In a 2008 joint letter to the Securities and Exchange Commission, </w:t>
      </w:r>
      <w:r w:rsidR="00345359" w:rsidRPr="0020346C">
        <w:t xml:space="preserve">the </w:t>
      </w:r>
      <w:r w:rsidR="00345359" w:rsidRPr="007F1EC7">
        <w:t xml:space="preserve">CFA Institute Centre for Financial Market Integrity (CFA Institute), the Center for Audit Quality, the Consumer Federation of America, and the Council of Institutional Investors support fair value accounting because they believe it provides more accurate, timely, and comparable information to investors than </w:t>
      </w:r>
      <w:r w:rsidR="00345359">
        <w:t>amounts that would be reported under other alternative accounting approaches</w:t>
      </w:r>
      <w:r w:rsidR="00611B04">
        <w:t xml:space="preserve"> (</w:t>
      </w:r>
      <w:r w:rsidR="00C94323">
        <w:t xml:space="preserve">CFA </w:t>
      </w:r>
      <w:r w:rsidR="00885C07">
        <w:t>2008a</w:t>
      </w:r>
      <w:r w:rsidR="00611B04">
        <w:t>)</w:t>
      </w:r>
      <w:r w:rsidR="00646505">
        <w:t xml:space="preserve">. </w:t>
      </w:r>
      <w:r>
        <w:rPr>
          <w:color w:val="333333"/>
        </w:rPr>
        <w:t>In a</w:t>
      </w:r>
      <w:r w:rsidR="00345359" w:rsidRPr="00345359">
        <w:rPr>
          <w:color w:val="333333"/>
        </w:rPr>
        <w:t xml:space="preserve"> </w:t>
      </w:r>
      <w:r w:rsidR="00345359" w:rsidRPr="007A62EE">
        <w:t>survey of CFA Institute membe</w:t>
      </w:r>
      <w:r>
        <w:t xml:space="preserve">rs worldwide </w:t>
      </w:r>
      <w:r w:rsidR="00415188">
        <w:t xml:space="preserve">more than </w:t>
      </w:r>
      <w:r w:rsidR="00C5357C">
        <w:t>75</w:t>
      </w:r>
      <w:r w:rsidR="007924A6">
        <w:t xml:space="preserve"> percent</w:t>
      </w:r>
      <w:r w:rsidR="00345359" w:rsidRPr="007A62EE">
        <w:t xml:space="preserve"> of</w:t>
      </w:r>
      <w:r>
        <w:t xml:space="preserve"> the 2,006</w:t>
      </w:r>
      <w:r w:rsidR="00345359" w:rsidRPr="007A62EE">
        <w:t xml:space="preserve"> respondents</w:t>
      </w:r>
      <w:r>
        <w:t xml:space="preserve"> indicate that they</w:t>
      </w:r>
      <w:r w:rsidR="00345359" w:rsidRPr="007A62EE">
        <w:t xml:space="preserve"> believe that fair value requirements improve transparency</w:t>
      </w:r>
      <w:r w:rsidR="00C5357C">
        <w:t xml:space="preserve"> and</w:t>
      </w:r>
      <w:r w:rsidR="00345359" w:rsidRPr="007A62EE">
        <w:t xml:space="preserve"> contribute to investor understanding of financial institutions</w:t>
      </w:r>
      <w:r w:rsidR="00345359">
        <w:t>’</w:t>
      </w:r>
      <w:r w:rsidR="00345359" w:rsidRPr="007A62EE">
        <w:t xml:space="preserve"> risk and </w:t>
      </w:r>
      <w:r w:rsidR="00662A17">
        <w:t>that</w:t>
      </w:r>
      <w:r w:rsidR="00345359" w:rsidRPr="007A62EE">
        <w:t xml:space="preserve"> </w:t>
      </w:r>
      <w:r w:rsidR="00345359">
        <w:t xml:space="preserve">full </w:t>
      </w:r>
      <w:r w:rsidR="00345359" w:rsidRPr="007A62EE">
        <w:t xml:space="preserve">fair value </w:t>
      </w:r>
      <w:r w:rsidR="00345359">
        <w:t>accounting</w:t>
      </w:r>
      <w:r w:rsidR="00345359" w:rsidRPr="007A62EE">
        <w:t xml:space="preserve"> </w:t>
      </w:r>
      <w:r w:rsidR="00345359">
        <w:t xml:space="preserve">for financial instruments </w:t>
      </w:r>
      <w:r w:rsidR="00345359" w:rsidRPr="007A62EE">
        <w:t>will improve market integrity</w:t>
      </w:r>
      <w:r w:rsidR="00345359">
        <w:t xml:space="preserve"> (CFA </w:t>
      </w:r>
      <w:r w:rsidR="00885C07">
        <w:t>2008b</w:t>
      </w:r>
      <w:r w:rsidR="00345359">
        <w:t>)</w:t>
      </w:r>
      <w:r w:rsidR="00646505">
        <w:t xml:space="preserve">. </w:t>
      </w:r>
      <w:r w:rsidR="00345359">
        <w:t>Presumably if fair values better describe bank risk,</w:t>
      </w:r>
      <w:r w:rsidR="00345359" w:rsidRPr="00BE1AC4">
        <w:t xml:space="preserve"> then fair value accounting may mitigate rather than exacerbate financial crises (</w:t>
      </w:r>
      <w:r w:rsidR="00345359">
        <w:t>Financial Crisis Advisory Group</w:t>
      </w:r>
      <w:r w:rsidR="00345359" w:rsidRPr="00BE1AC4">
        <w:t xml:space="preserve"> 2009</w:t>
      </w:r>
      <w:r w:rsidR="00345359">
        <w:t xml:space="preserve"> and </w:t>
      </w:r>
      <w:proofErr w:type="spellStart"/>
      <w:r w:rsidR="00345359">
        <w:t>Bleck</w:t>
      </w:r>
      <w:proofErr w:type="spellEnd"/>
      <w:r w:rsidR="00345359">
        <w:t xml:space="preserve"> and Liu 2007</w:t>
      </w:r>
      <w:r w:rsidR="00345359" w:rsidRPr="00BE1AC4">
        <w:t>)</w:t>
      </w:r>
      <w:r w:rsidR="00646505">
        <w:t xml:space="preserve">. </w:t>
      </w:r>
      <w:r w:rsidR="00345359">
        <w:t xml:space="preserve">In a </w:t>
      </w:r>
      <w:r w:rsidR="00345359" w:rsidRPr="00AF5AAF">
        <w:rPr>
          <w:i/>
        </w:rPr>
        <w:t>Financial Times</w:t>
      </w:r>
      <w:r w:rsidR="00345359">
        <w:t xml:space="preserve"> editorial, Lloyd </w:t>
      </w:r>
      <w:proofErr w:type="spellStart"/>
      <w:r w:rsidR="00345359">
        <w:t>Blankfein</w:t>
      </w:r>
      <w:proofErr w:type="spellEnd"/>
      <w:r w:rsidR="00345359">
        <w:t xml:space="preserve">, </w:t>
      </w:r>
      <w:r w:rsidR="001813DD">
        <w:t>c</w:t>
      </w:r>
      <w:r w:rsidR="00345359">
        <w:t xml:space="preserve">hairman and </w:t>
      </w:r>
      <w:r w:rsidR="001813DD">
        <w:t>c</w:t>
      </w:r>
      <w:r w:rsidR="00345359">
        <w:t xml:space="preserve">hief  </w:t>
      </w:r>
      <w:r w:rsidR="001813DD">
        <w:t>e</w:t>
      </w:r>
      <w:r w:rsidR="00345359">
        <w:t xml:space="preserve">xecutive </w:t>
      </w:r>
      <w:r w:rsidR="001813DD">
        <w:t>o</w:t>
      </w:r>
      <w:r w:rsidR="00345359">
        <w:t>fficer of Goldman Sachs, argues that “an institution’s assets must be valued at fair market value</w:t>
      </w:r>
      <w:r w:rsidR="001813DD">
        <w:t>—</w:t>
      </w:r>
      <w:r w:rsidR="00345359">
        <w:t>the price at which buyers and sellers transact</w:t>
      </w:r>
      <w:r w:rsidR="001813DD">
        <w:t>—</w:t>
      </w:r>
      <w:r w:rsidR="00345359">
        <w:t>not at the (frequently irrelevant) historic value” (</w:t>
      </w:r>
      <w:proofErr w:type="spellStart"/>
      <w:r w:rsidR="00345359">
        <w:t>Blankfein</w:t>
      </w:r>
      <w:proofErr w:type="spellEnd"/>
      <w:r w:rsidR="00345359">
        <w:t xml:space="preserve"> 2009)</w:t>
      </w:r>
      <w:r w:rsidR="00646505">
        <w:t xml:space="preserve">. </w:t>
      </w:r>
    </w:p>
    <w:p w:rsidR="00345359" w:rsidRDefault="001813DD" w:rsidP="00345359">
      <w:pPr>
        <w:spacing w:line="480" w:lineRule="auto"/>
        <w:ind w:firstLine="720"/>
      </w:pPr>
      <w:r w:rsidDel="001813DD">
        <w:t xml:space="preserve"> </w:t>
      </w:r>
      <w:r>
        <w:t>T</w:t>
      </w:r>
      <w:r w:rsidR="00C40E60">
        <w:t xml:space="preserve">here are </w:t>
      </w:r>
      <w:r w:rsidR="00A050A0">
        <w:t xml:space="preserve">five </w:t>
      </w:r>
      <w:r w:rsidR="001002FA">
        <w:t>basic</w:t>
      </w:r>
      <w:r w:rsidR="001002FA" w:rsidRPr="00BE1AC4">
        <w:t xml:space="preserve"> arguments</w:t>
      </w:r>
      <w:r w:rsidR="001002FA">
        <w:t xml:space="preserve"> against </w:t>
      </w:r>
      <w:r w:rsidR="00951158">
        <w:t>fair value accounting</w:t>
      </w:r>
      <w:r w:rsidR="00016C8D">
        <w:t xml:space="preserve"> as discussed in more detail in</w:t>
      </w:r>
      <w:r w:rsidR="00F12C1D">
        <w:t xml:space="preserve"> ABA </w:t>
      </w:r>
      <w:r w:rsidR="00016C8D">
        <w:t>(</w:t>
      </w:r>
      <w:r w:rsidR="00F12C1D">
        <w:t>2006</w:t>
      </w:r>
      <w:r w:rsidR="004B4BC1">
        <w:t xml:space="preserve">, </w:t>
      </w:r>
      <w:r w:rsidR="00F12C1D">
        <w:t>2009)</w:t>
      </w:r>
      <w:r w:rsidR="00646505">
        <w:t xml:space="preserve">. </w:t>
      </w:r>
      <w:r w:rsidR="001002FA">
        <w:t xml:space="preserve">First, </w:t>
      </w:r>
      <w:r w:rsidR="001002FA" w:rsidRPr="00BE1AC4">
        <w:t xml:space="preserve">fair value accounting </w:t>
      </w:r>
      <w:r w:rsidR="007D3ECB">
        <w:t>for</w:t>
      </w:r>
      <w:r w:rsidR="00016C8D">
        <w:t xml:space="preserve"> assets that are</w:t>
      </w:r>
      <w:r w:rsidR="007D3ECB">
        <w:t xml:space="preserve"> instruments held for collection </w:t>
      </w:r>
      <w:r w:rsidR="00A050A0">
        <w:t>does</w:t>
      </w:r>
      <w:r w:rsidR="00E214C6">
        <w:t xml:space="preserve"> </w:t>
      </w:r>
      <w:r w:rsidR="001002FA">
        <w:t xml:space="preserve">not faithfully represent a bank’s </w:t>
      </w:r>
      <w:r w:rsidR="00B24010">
        <w:t>financial condition</w:t>
      </w:r>
      <w:r w:rsidR="00646505">
        <w:t xml:space="preserve">. </w:t>
      </w:r>
      <w:r w:rsidR="009D4BC3">
        <w:t>As discussed above, changes in fair value of these instruments may be transitory</w:t>
      </w:r>
      <w:r w:rsidR="00646505">
        <w:t xml:space="preserve">. </w:t>
      </w:r>
      <w:r w:rsidR="00345359">
        <w:t xml:space="preserve">Consistent with this view, Sheila Bair, </w:t>
      </w:r>
      <w:r w:rsidR="00446D04">
        <w:t xml:space="preserve">then </w:t>
      </w:r>
      <w:r w:rsidR="00345359">
        <w:t xml:space="preserve">chairman of the Federal Deposit Insurance Corporation, </w:t>
      </w:r>
      <w:r w:rsidR="00016C8D">
        <w:t>has argued that there i</w:t>
      </w:r>
      <w:r w:rsidR="00345359">
        <w:t>s no relevance in using fair value accounting for loans that are held to maturity (</w:t>
      </w:r>
      <w:proofErr w:type="spellStart"/>
      <w:r w:rsidR="00345359">
        <w:t>N’Diaye</w:t>
      </w:r>
      <w:proofErr w:type="spellEnd"/>
      <w:r w:rsidR="00345359">
        <w:t xml:space="preserve"> 2009)</w:t>
      </w:r>
      <w:r w:rsidR="00646505">
        <w:t xml:space="preserve">. </w:t>
      </w:r>
    </w:p>
    <w:p w:rsidR="00A726F5" w:rsidRDefault="00A726F5" w:rsidP="00A726F5">
      <w:pPr>
        <w:spacing w:line="480" w:lineRule="auto"/>
        <w:ind w:firstLine="720"/>
      </w:pPr>
      <w:r>
        <w:t xml:space="preserve">Second, </w:t>
      </w:r>
      <w:r w:rsidRPr="00BE1AC4">
        <w:t xml:space="preserve">fair value accounting </w:t>
      </w:r>
      <w:r>
        <w:t xml:space="preserve">for </w:t>
      </w:r>
      <w:r w:rsidR="00016C8D">
        <w:t xml:space="preserve">liabilities that are </w:t>
      </w:r>
      <w:r>
        <w:t xml:space="preserve">instruments held </w:t>
      </w:r>
      <w:r w:rsidR="00016C8D">
        <w:t xml:space="preserve">for payment </w:t>
      </w:r>
      <w:r w:rsidR="00DE5B15">
        <w:t>is not appropriate for two reasons</w:t>
      </w:r>
      <w:r w:rsidR="00646505">
        <w:t xml:space="preserve">. </w:t>
      </w:r>
      <w:r>
        <w:t xml:space="preserve">First, there are few opportunities for firms to settle liabilities before </w:t>
      </w:r>
      <w:r>
        <w:lastRenderedPageBreak/>
        <w:t>maturity at other than the principal amount</w:t>
      </w:r>
      <w:r w:rsidR="00646505">
        <w:t xml:space="preserve">. </w:t>
      </w:r>
      <w:r>
        <w:t xml:space="preserve">Debt markets are frequently very illiquid and contractual restrictions often preclude the transfer of financial liabilities. These </w:t>
      </w:r>
      <w:r w:rsidR="00016C8D">
        <w:t xml:space="preserve">limited </w:t>
      </w:r>
      <w:r>
        <w:t xml:space="preserve">opportunities to transfer liabilities before payment suggest that fair values of financial liabilities </w:t>
      </w:r>
      <w:r w:rsidR="00DE5B15">
        <w:t xml:space="preserve">are </w:t>
      </w:r>
      <w:r w:rsidR="00B518C1">
        <w:t xml:space="preserve">less </w:t>
      </w:r>
      <w:r>
        <w:t>relevant for decision making</w:t>
      </w:r>
      <w:r w:rsidR="00B518C1">
        <w:t xml:space="preserve"> than fair values of financial assets because the fair values of liabilities are less likely to be realized</w:t>
      </w:r>
      <w:r>
        <w:t>.</w:t>
      </w:r>
      <w:r>
        <w:rPr>
          <w:rStyle w:val="FootnoteReference"/>
        </w:rPr>
        <w:footnoteReference w:id="6"/>
      </w:r>
      <w:r>
        <w:t xml:space="preserve"> Second, many argue that it is counterintuitive that under fair value accounting for fixed</w:t>
      </w:r>
      <w:r w:rsidR="001813DD">
        <w:t>-</w:t>
      </w:r>
      <w:r>
        <w:t>rate debt, an increase in credit risk results in a write</w:t>
      </w:r>
      <w:r w:rsidR="001813DD">
        <w:t>-</w:t>
      </w:r>
      <w:r>
        <w:t>down of the value of the debt and an associated gain in net income.</w:t>
      </w:r>
      <w:r>
        <w:rPr>
          <w:rStyle w:val="FootnoteReference"/>
        </w:rPr>
        <w:footnoteReference w:id="7"/>
      </w:r>
      <w:r>
        <w:t xml:space="preserve"> </w:t>
      </w:r>
    </w:p>
    <w:p w:rsidR="00766016" w:rsidRDefault="00345359" w:rsidP="00766016">
      <w:pPr>
        <w:pStyle w:val="BodyTextIndent"/>
        <w:rPr>
          <w:lang w:eastAsia="zh-CN"/>
        </w:rPr>
      </w:pPr>
      <w:r>
        <w:t xml:space="preserve">The </w:t>
      </w:r>
      <w:r w:rsidR="00823A10">
        <w:t xml:space="preserve">third </w:t>
      </w:r>
      <w:r>
        <w:t xml:space="preserve">argument </w:t>
      </w:r>
      <w:r w:rsidR="007D1E9E">
        <w:t>against</w:t>
      </w:r>
      <w:r>
        <w:t xml:space="preserve"> fair value is that</w:t>
      </w:r>
      <w:r w:rsidR="009D4BC3">
        <w:t xml:space="preserve"> the financing of a bank’s operations links loans issued with the deposits received, and</w:t>
      </w:r>
      <w:r w:rsidR="001813DD">
        <w:t>,</w:t>
      </w:r>
      <w:r w:rsidR="009D4BC3">
        <w:t xml:space="preserve"> therefore, in order to </w:t>
      </w:r>
      <w:r w:rsidR="003055DA">
        <w:t xml:space="preserve">best </w:t>
      </w:r>
      <w:r w:rsidR="009D4BC3">
        <w:t>capture the</w:t>
      </w:r>
      <w:r w:rsidR="003055DA">
        <w:t xml:space="preserve"> economics of the banking model</w:t>
      </w:r>
      <w:r w:rsidR="009D4BC3">
        <w:t>, loans</w:t>
      </w:r>
      <w:r w:rsidR="00D058EE">
        <w:t xml:space="preserve"> and</w:t>
      </w:r>
      <w:r w:rsidR="003055DA">
        <w:t xml:space="preserve"> </w:t>
      </w:r>
      <w:r w:rsidR="009D4BC3">
        <w:t>deposits</w:t>
      </w:r>
      <w:r w:rsidR="002F092E">
        <w:t xml:space="preserve"> </w:t>
      </w:r>
      <w:r w:rsidR="003055DA">
        <w:t xml:space="preserve">need to be similarly </w:t>
      </w:r>
      <w:r w:rsidR="00B518C1">
        <w:t>measured</w:t>
      </w:r>
      <w:r w:rsidR="00646505">
        <w:t xml:space="preserve">. </w:t>
      </w:r>
      <w:r w:rsidR="00016C8D">
        <w:t>From this perspective, because</w:t>
      </w:r>
      <w:r w:rsidR="00766016">
        <w:t xml:space="preserve"> it is difficult to estimate the fair values of </w:t>
      </w:r>
      <w:r w:rsidR="00BD5902">
        <w:t xml:space="preserve">deposits, especially </w:t>
      </w:r>
      <w:r w:rsidR="00766016">
        <w:t>non-term deposits</w:t>
      </w:r>
      <w:r w:rsidR="00016C8D">
        <w:t xml:space="preserve">, </w:t>
      </w:r>
      <w:r w:rsidR="00BD5902">
        <w:t>both loans and deposits</w:t>
      </w:r>
      <w:r w:rsidR="00016C8D">
        <w:t xml:space="preserve"> should be recognized</w:t>
      </w:r>
      <w:r w:rsidR="00BD5902">
        <w:t xml:space="preserve"> at amortized cost. </w:t>
      </w:r>
      <w:r w:rsidR="00D058EE">
        <w:t xml:space="preserve">The difference between fair values and </w:t>
      </w:r>
      <w:r w:rsidR="002B38D5">
        <w:t xml:space="preserve">historical cost </w:t>
      </w:r>
      <w:r w:rsidR="00D058EE">
        <w:t>of non-term deposits</w:t>
      </w:r>
      <w:r w:rsidR="00016C8D">
        <w:t>,</w:t>
      </w:r>
      <w:r w:rsidR="00D058EE">
        <w:t xml:space="preserve"> </w:t>
      </w:r>
      <w:r w:rsidR="00D058EE" w:rsidRPr="00D058EE">
        <w:t xml:space="preserve">such as demand and savings deposits </w:t>
      </w:r>
      <w:r w:rsidR="00016C8D">
        <w:t xml:space="preserve">that bear low rates of </w:t>
      </w:r>
      <w:proofErr w:type="gramStart"/>
      <w:r w:rsidR="00016C8D">
        <w:t>interest,</w:t>
      </w:r>
      <w:proofErr w:type="gramEnd"/>
      <w:r w:rsidR="00D058EE">
        <w:t xml:space="preserve"> arise</w:t>
      </w:r>
      <w:r w:rsidR="001813DD">
        <w:t>s</w:t>
      </w:r>
      <w:r w:rsidR="00F12C1D">
        <w:t xml:space="preserve"> </w:t>
      </w:r>
      <w:r w:rsidR="002B38D5">
        <w:t>because a</w:t>
      </w:r>
      <w:r w:rsidR="004A25AD">
        <w:rPr>
          <w:lang w:eastAsia="zh-CN"/>
        </w:rPr>
        <w:t xml:space="preserve"> significant proportion of these funds can be expected to remain on deposit for long periods of time, allowing the bank to invest the deposits in higher yielding and longer duration loans</w:t>
      </w:r>
      <w:r w:rsidR="00646505">
        <w:rPr>
          <w:lang w:eastAsia="zh-CN"/>
        </w:rPr>
        <w:t xml:space="preserve">. </w:t>
      </w:r>
      <w:r w:rsidR="004A25AD">
        <w:rPr>
          <w:lang w:eastAsia="zh-CN"/>
        </w:rPr>
        <w:t>As shown by Flannery and James (1984),</w:t>
      </w:r>
      <w:r w:rsidR="00016C8D">
        <w:rPr>
          <w:lang w:eastAsia="zh-CN"/>
        </w:rPr>
        <w:t xml:space="preserve"> because</w:t>
      </w:r>
      <w:r w:rsidR="004A25AD">
        <w:rPr>
          <w:lang w:eastAsia="zh-CN"/>
        </w:rPr>
        <w:t xml:space="preserve"> these non-term deposits are fairly insensitive to interest rate changes</w:t>
      </w:r>
      <w:r w:rsidR="00016C8D">
        <w:rPr>
          <w:lang w:eastAsia="zh-CN"/>
        </w:rPr>
        <w:t>, they</w:t>
      </w:r>
      <w:r w:rsidR="004A25AD">
        <w:rPr>
          <w:lang w:eastAsia="zh-CN"/>
        </w:rPr>
        <w:t xml:space="preserve"> serve as a type of hedge against the effect that changes in interest rates have on loans. Specifically, if interest rates rise, the fair value of fixed</w:t>
      </w:r>
      <w:r w:rsidR="001813DD">
        <w:rPr>
          <w:lang w:eastAsia="zh-CN"/>
        </w:rPr>
        <w:t>-</w:t>
      </w:r>
      <w:r w:rsidR="004A25AD">
        <w:rPr>
          <w:lang w:eastAsia="zh-CN"/>
        </w:rPr>
        <w:t xml:space="preserve">rate loans held by the bank will fall, but this loss will be offset by a rise in the fair value of the </w:t>
      </w:r>
      <w:r w:rsidR="00986723">
        <w:rPr>
          <w:lang w:eastAsia="zh-CN"/>
        </w:rPr>
        <w:lastRenderedPageBreak/>
        <w:t>deposits</w:t>
      </w:r>
      <w:r w:rsidR="004A25AD">
        <w:rPr>
          <w:lang w:eastAsia="zh-CN"/>
        </w:rPr>
        <w:t xml:space="preserve"> associated with the increasing benefits of low</w:t>
      </w:r>
      <w:r w:rsidR="001813DD">
        <w:rPr>
          <w:lang w:eastAsia="zh-CN"/>
        </w:rPr>
        <w:t>-</w:t>
      </w:r>
      <w:r w:rsidR="004A25AD">
        <w:rPr>
          <w:lang w:eastAsia="zh-CN"/>
        </w:rPr>
        <w:t xml:space="preserve"> or no</w:t>
      </w:r>
      <w:r w:rsidR="001813DD">
        <w:rPr>
          <w:lang w:eastAsia="zh-CN"/>
        </w:rPr>
        <w:t>-</w:t>
      </w:r>
      <w:r w:rsidR="004A25AD">
        <w:rPr>
          <w:lang w:eastAsia="zh-CN"/>
        </w:rPr>
        <w:t>cost financing in an increasing interest rate environment</w:t>
      </w:r>
      <w:r w:rsidR="00646505">
        <w:rPr>
          <w:lang w:eastAsia="zh-CN"/>
        </w:rPr>
        <w:t xml:space="preserve">. </w:t>
      </w:r>
      <w:r w:rsidR="004A25AD">
        <w:rPr>
          <w:lang w:eastAsia="zh-CN"/>
        </w:rPr>
        <w:t>If the</w:t>
      </w:r>
      <w:r w:rsidR="00684B79">
        <w:rPr>
          <w:lang w:eastAsia="zh-CN"/>
        </w:rPr>
        <w:t xml:space="preserve"> stable source of funding provided by </w:t>
      </w:r>
      <w:r w:rsidR="0032682C">
        <w:rPr>
          <w:lang w:eastAsia="zh-CN"/>
        </w:rPr>
        <w:t>depositors</w:t>
      </w:r>
      <w:r w:rsidR="004A25AD">
        <w:rPr>
          <w:lang w:eastAsia="zh-CN"/>
        </w:rPr>
        <w:t xml:space="preserve"> is not recognized </w:t>
      </w:r>
      <w:r w:rsidR="007D1E9E">
        <w:rPr>
          <w:lang w:eastAsia="zh-CN"/>
        </w:rPr>
        <w:t>while</w:t>
      </w:r>
      <w:r w:rsidR="004A25AD">
        <w:rPr>
          <w:lang w:eastAsia="zh-CN"/>
        </w:rPr>
        <w:t xml:space="preserve"> the fair value of loans is recognized, then the bank will appear more volatile than it truly is.</w:t>
      </w:r>
      <w:r w:rsidR="00A726F5">
        <w:rPr>
          <w:rStyle w:val="FootnoteReference"/>
          <w:lang w:eastAsia="zh-CN"/>
        </w:rPr>
        <w:footnoteReference w:id="8"/>
      </w:r>
      <w:r w:rsidR="00A726F5">
        <w:rPr>
          <w:lang w:eastAsia="zh-CN"/>
        </w:rPr>
        <w:t xml:space="preserve"> </w:t>
      </w:r>
      <w:r w:rsidR="004A25AD">
        <w:rPr>
          <w:lang w:eastAsia="zh-CN"/>
        </w:rPr>
        <w:t xml:space="preserve"> </w:t>
      </w:r>
    </w:p>
    <w:p w:rsidR="009D4BC3" w:rsidRDefault="00FD18DF" w:rsidP="000F6F4D">
      <w:pPr>
        <w:spacing w:line="480" w:lineRule="auto"/>
        <w:ind w:firstLine="720"/>
      </w:pPr>
      <w:r>
        <w:t xml:space="preserve">The </w:t>
      </w:r>
      <w:r w:rsidR="00903422">
        <w:t xml:space="preserve">fourth </w:t>
      </w:r>
      <w:r>
        <w:t xml:space="preserve">opposing argument is that </w:t>
      </w:r>
      <w:r w:rsidR="00903422">
        <w:t xml:space="preserve">when </w:t>
      </w:r>
      <w:r w:rsidR="009D4BC3" w:rsidRPr="00BE1AC4">
        <w:t>fair value</w:t>
      </w:r>
      <w:r w:rsidR="00903422">
        <w:t>s must be estimated, the valuation process can be</w:t>
      </w:r>
      <w:r w:rsidR="009D4BC3" w:rsidRPr="00BE1AC4">
        <w:t xml:space="preserve"> </w:t>
      </w:r>
      <w:r w:rsidR="00903422">
        <w:t xml:space="preserve">significantly </w:t>
      </w:r>
      <w:r w:rsidR="009B3310" w:rsidRPr="00BE1AC4">
        <w:t>complex</w:t>
      </w:r>
      <w:r w:rsidR="009D4BC3">
        <w:t xml:space="preserve"> </w:t>
      </w:r>
      <w:r w:rsidR="00903422">
        <w:t xml:space="preserve">and the resulting numbers sufficiently unreliable to cause </w:t>
      </w:r>
      <w:r w:rsidR="009D4BC3">
        <w:t xml:space="preserve">the benefits not </w:t>
      </w:r>
      <w:r w:rsidR="00903422">
        <w:t xml:space="preserve">to </w:t>
      </w:r>
      <w:r w:rsidR="009D4BC3">
        <w:t>outweigh the costs</w:t>
      </w:r>
      <w:r w:rsidR="00646505">
        <w:t xml:space="preserve">. </w:t>
      </w:r>
      <w:r w:rsidR="00A767AF">
        <w:t>T</w:t>
      </w:r>
      <w:r>
        <w:t xml:space="preserve">he </w:t>
      </w:r>
      <w:r w:rsidR="00903422">
        <w:t xml:space="preserve">fifth </w:t>
      </w:r>
      <w:r w:rsidR="00DA0002">
        <w:t xml:space="preserve">argument </w:t>
      </w:r>
      <w:r>
        <w:t>is that</w:t>
      </w:r>
      <w:r w:rsidR="009D4BC3" w:rsidRPr="00BE1AC4">
        <w:t xml:space="preserve"> </w:t>
      </w:r>
      <w:r w:rsidR="00016C8D">
        <w:t xml:space="preserve">because </w:t>
      </w:r>
      <w:r w:rsidR="009D4BC3" w:rsidRPr="00BE1AC4">
        <w:t xml:space="preserve">fair value </w:t>
      </w:r>
      <w:r w:rsidR="00951158">
        <w:t xml:space="preserve">accounting </w:t>
      </w:r>
      <w:r w:rsidR="009D4BC3" w:rsidRPr="00BE1AC4">
        <w:t>contribute</w:t>
      </w:r>
      <w:r w:rsidR="009D4BC3">
        <w:t>s</w:t>
      </w:r>
      <w:r w:rsidR="009D4BC3" w:rsidRPr="00BE1AC4">
        <w:t xml:space="preserve"> to the </w:t>
      </w:r>
      <w:proofErr w:type="spellStart"/>
      <w:r w:rsidR="009D4BC3" w:rsidRPr="00BE1AC4">
        <w:t>procyclicality</w:t>
      </w:r>
      <w:proofErr w:type="spellEnd"/>
      <w:r w:rsidR="009D4BC3" w:rsidRPr="00BE1AC4">
        <w:t xml:space="preserve"> of the financial system</w:t>
      </w:r>
      <w:r w:rsidR="00016C8D">
        <w:t>, it is</w:t>
      </w:r>
      <w:r w:rsidR="009D4BC3" w:rsidRPr="00BE1AC4">
        <w:t xml:space="preserve"> one of the root causes of the recent financial crisis</w:t>
      </w:r>
      <w:r w:rsidR="009D4BC3">
        <w:t>,</w:t>
      </w:r>
      <w:r w:rsidR="009D4BC3" w:rsidRPr="00BE1AC4">
        <w:t xml:space="preserve"> </w:t>
      </w:r>
      <w:r w:rsidR="009D4BC3">
        <w:t>creating significant</w:t>
      </w:r>
      <w:r w:rsidR="009D4BC3" w:rsidRPr="00BE1AC4">
        <w:t xml:space="preserve"> harm to the economy</w:t>
      </w:r>
      <w:r w:rsidR="00646505">
        <w:t xml:space="preserve">. </w:t>
      </w:r>
    </w:p>
    <w:p w:rsidR="001002FA" w:rsidRDefault="001002FA" w:rsidP="000F6F4D">
      <w:pPr>
        <w:spacing w:line="480" w:lineRule="auto"/>
        <w:ind w:firstLine="720"/>
      </w:pPr>
      <w:r>
        <w:t xml:space="preserve">Our </w:t>
      </w:r>
      <w:r w:rsidR="00875A68">
        <w:t>examination of</w:t>
      </w:r>
      <w:r>
        <w:t xml:space="preserve"> the ability of fair values</w:t>
      </w:r>
      <w:r w:rsidR="00FD18DF">
        <w:t xml:space="preserve"> versus more historical</w:t>
      </w:r>
      <w:r w:rsidR="00903422">
        <w:t>-</w:t>
      </w:r>
      <w:r w:rsidR="00FD18DF">
        <w:t>cost</w:t>
      </w:r>
      <w:r w:rsidR="00903422">
        <w:t>-</w:t>
      </w:r>
      <w:r w:rsidR="00FD18DF">
        <w:t>based measures (GAAP and Tier 1 capital)</w:t>
      </w:r>
      <w:r>
        <w:t xml:space="preserve"> to reflect a bank’s credit risk directly addresses the first </w:t>
      </w:r>
      <w:r w:rsidR="00903422">
        <w:t xml:space="preserve">three </w:t>
      </w:r>
      <w:r w:rsidR="00875A68">
        <w:t xml:space="preserve">opposing </w:t>
      </w:r>
      <w:r>
        <w:t>arguments</w:t>
      </w:r>
      <w:r w:rsidR="00646505">
        <w:t xml:space="preserve">. </w:t>
      </w:r>
      <w:r>
        <w:t>Our paper</w:t>
      </w:r>
      <w:r w:rsidR="00C747C4">
        <w:t>, however,</w:t>
      </w:r>
      <w:r>
        <w:t xml:space="preserve"> does not contribute to understanding the costs</w:t>
      </w:r>
      <w:r w:rsidR="0043463B">
        <w:t>,</w:t>
      </w:r>
      <w:r>
        <w:t xml:space="preserve"> complexity</w:t>
      </w:r>
      <w:r w:rsidR="0043463B">
        <w:t>, and reliability</w:t>
      </w:r>
      <w:r>
        <w:t xml:space="preserve"> of fair value accounting or whether fair values contribute to pro-cyclicality</w:t>
      </w:r>
      <w:r w:rsidR="00646505">
        <w:t xml:space="preserve">. </w:t>
      </w:r>
      <w:r>
        <w:t xml:space="preserve">We believe </w:t>
      </w:r>
      <w:proofErr w:type="spellStart"/>
      <w:r>
        <w:t>procyclicality</w:t>
      </w:r>
      <w:proofErr w:type="spellEnd"/>
      <w:r>
        <w:t xml:space="preserve"> is an interesting issue and acknowledge that the role of fair values in the </w:t>
      </w:r>
      <w:r w:rsidR="00903422">
        <w:t xml:space="preserve">recent financial </w:t>
      </w:r>
      <w:r>
        <w:t>crisis is still not fully understood.</w:t>
      </w:r>
      <w:r w:rsidR="00B3651C">
        <w:rPr>
          <w:rStyle w:val="FootnoteReference"/>
        </w:rPr>
        <w:footnoteReference w:id="9"/>
      </w:r>
      <w:r>
        <w:t xml:space="preserve">  </w:t>
      </w:r>
    </w:p>
    <w:p w:rsidR="00E55603" w:rsidRPr="00E55603" w:rsidRDefault="00E55603" w:rsidP="00E55603">
      <w:pPr>
        <w:spacing w:line="480" w:lineRule="auto"/>
        <w:rPr>
          <w:b/>
        </w:rPr>
      </w:pPr>
      <w:r w:rsidRPr="00E55603">
        <w:rPr>
          <w:b/>
        </w:rPr>
        <w:t xml:space="preserve">Fair </w:t>
      </w:r>
      <w:r w:rsidR="0049189A">
        <w:rPr>
          <w:b/>
        </w:rPr>
        <w:t>V</w:t>
      </w:r>
      <w:r w:rsidRPr="00E55603">
        <w:rPr>
          <w:b/>
        </w:rPr>
        <w:t xml:space="preserve">alues and </w:t>
      </w:r>
      <w:r w:rsidR="0049189A">
        <w:rPr>
          <w:b/>
        </w:rPr>
        <w:t>C</w:t>
      </w:r>
      <w:r w:rsidRPr="00E55603">
        <w:rPr>
          <w:b/>
        </w:rPr>
        <w:t xml:space="preserve">redit </w:t>
      </w:r>
      <w:r w:rsidR="0049189A">
        <w:rPr>
          <w:b/>
        </w:rPr>
        <w:t>R</w:t>
      </w:r>
      <w:r w:rsidRPr="00E55603">
        <w:rPr>
          <w:b/>
        </w:rPr>
        <w:t>isk</w:t>
      </w:r>
    </w:p>
    <w:p w:rsidR="004B04BE" w:rsidRDefault="004B04BE" w:rsidP="004B04BE">
      <w:pPr>
        <w:pStyle w:val="NormalWeb"/>
        <w:spacing w:before="0" w:beforeAutospacing="0" w:after="0" w:afterAutospacing="0" w:line="480" w:lineRule="auto"/>
        <w:ind w:firstLine="720"/>
      </w:pPr>
      <w:r>
        <w:lastRenderedPageBreak/>
        <w:t>As mentioned previously, we focus on credit risk because it is critically important in the banking industry.</w:t>
      </w:r>
      <w:r w:rsidRPr="00860032">
        <w:t xml:space="preserve"> </w:t>
      </w:r>
      <w:r>
        <w:t>To demonstrate the nature of credit risk we obtained month-end TED spread from Bloomberg for 1984 through 2010</w:t>
      </w:r>
      <w:r w:rsidR="00646505">
        <w:t xml:space="preserve">. </w:t>
      </w:r>
      <w:r>
        <w:t xml:space="preserve">The </w:t>
      </w:r>
      <w:r w:rsidRPr="00B432B1">
        <w:t xml:space="preserve">TED </w:t>
      </w:r>
      <w:r>
        <w:t xml:space="preserve">spread is the difference between three-month interest rates based on the </w:t>
      </w:r>
      <w:r w:rsidRPr="006B2558">
        <w:t>London Interbank Offered Rate</w:t>
      </w:r>
      <w:r>
        <w:t xml:space="preserve"> (LIBOR) and </w:t>
      </w:r>
      <w:r w:rsidRPr="006B2558">
        <w:t>US government debt</w:t>
      </w:r>
      <w:r>
        <w:t xml:space="preserve"> (T-bills).</w:t>
      </w:r>
      <w:r>
        <w:rPr>
          <w:rStyle w:val="FootnoteReference"/>
        </w:rPr>
        <w:footnoteReference w:id="10"/>
      </w:r>
      <w:r>
        <w:t xml:space="preserve"> TED is an indicator of perceived </w:t>
      </w:r>
      <w:r w:rsidRPr="006B2558">
        <w:t>credit risk</w:t>
      </w:r>
      <w:r>
        <w:t xml:space="preserve"> in both the banking sector </w:t>
      </w:r>
      <w:r w:rsidR="008401F9">
        <w:t>and</w:t>
      </w:r>
      <w:r>
        <w:t xml:space="preserve"> the general economy because T-bills are considered risk-free</w:t>
      </w:r>
      <w:r w:rsidR="008401F9">
        <w:t>,</w:t>
      </w:r>
      <w:r>
        <w:t xml:space="preserve"> while LIBOR reflects the credit risk of lending to commercial banks. For example, if the </w:t>
      </w:r>
      <w:proofErr w:type="gramStart"/>
      <w:r>
        <w:t>risk of default on interbank loans increases, interbank lenders demand</w:t>
      </w:r>
      <w:proofErr w:type="gramEnd"/>
      <w:r>
        <w:t xml:space="preserve"> a higher rate of interest, resulting in an increase in TED</w:t>
      </w:r>
      <w:r w:rsidR="00646505">
        <w:t xml:space="preserve">. </w:t>
      </w:r>
      <w:r>
        <w:t xml:space="preserve">Therefore, an increasing TED is a sign that lenders believe </w:t>
      </w:r>
      <w:r w:rsidR="008401F9">
        <w:t xml:space="preserve">that </w:t>
      </w:r>
      <w:r>
        <w:t xml:space="preserve">the risk of default on interbank loans (also known as </w:t>
      </w:r>
      <w:r w:rsidRPr="006B2558">
        <w:t xml:space="preserve">counterparty </w:t>
      </w:r>
      <w:r>
        <w:t xml:space="preserve">credit </w:t>
      </w:r>
      <w:r w:rsidRPr="006B2558">
        <w:t>risk</w:t>
      </w:r>
      <w:r>
        <w:t>) is increasing. Alternatively, if the risk of bank defaults is considered to be decreasing, the TED spread decreases</w:t>
      </w:r>
      <w:r w:rsidR="00646505">
        <w:t xml:space="preserve">. </w:t>
      </w:r>
    </w:p>
    <w:p w:rsidR="00A20173" w:rsidRDefault="00784ED4" w:rsidP="00AB31E5">
      <w:pPr>
        <w:pStyle w:val="NormalWeb"/>
        <w:spacing w:before="0" w:beforeAutospacing="0" w:after="0" w:afterAutospacing="0" w:line="480" w:lineRule="auto"/>
        <w:ind w:firstLine="720"/>
        <w:jc w:val="center"/>
      </w:pPr>
      <w:r>
        <w:t>[INSERT FIGURE1 ABOUT HERE]</w:t>
      </w:r>
    </w:p>
    <w:p w:rsidR="004B04BE" w:rsidRDefault="004B04BE" w:rsidP="004B04BE">
      <w:pPr>
        <w:pStyle w:val="NormalWeb"/>
        <w:spacing w:before="0" w:beforeAutospacing="0" w:after="0" w:afterAutospacing="0" w:line="480" w:lineRule="auto"/>
        <w:ind w:firstLine="720"/>
      </w:pPr>
      <w:r>
        <w:t xml:space="preserve">As shown in </w:t>
      </w:r>
      <w:r w:rsidR="00ED0311">
        <w:t>F</w:t>
      </w:r>
      <w:r>
        <w:t xml:space="preserve">igure 1, </w:t>
      </w:r>
      <w:r w:rsidR="004B77CD">
        <w:t xml:space="preserve">the </w:t>
      </w:r>
      <w:r>
        <w:t>TED spread fluctuates over time but is generally in the range of 0.1</w:t>
      </w:r>
      <w:r w:rsidR="007924A6">
        <w:t xml:space="preserve"> percent</w:t>
      </w:r>
      <w:r>
        <w:t xml:space="preserve"> </w:t>
      </w:r>
      <w:r w:rsidR="00495C87">
        <w:t xml:space="preserve">to </w:t>
      </w:r>
      <w:r>
        <w:t>0.75</w:t>
      </w:r>
      <w:r w:rsidR="007924A6">
        <w:t xml:space="preserve"> percent</w:t>
      </w:r>
      <w:r>
        <w:t xml:space="preserve"> (10 </w:t>
      </w:r>
      <w:r w:rsidR="00495C87">
        <w:t xml:space="preserve">to </w:t>
      </w:r>
      <w:r>
        <w:t>75 bps)</w:t>
      </w:r>
      <w:r w:rsidR="00646505">
        <w:t xml:space="preserve">. </w:t>
      </w:r>
      <w:r>
        <w:t>TED spread spikes in times of financial crises</w:t>
      </w:r>
      <w:r w:rsidR="00646505">
        <w:t xml:space="preserve">. </w:t>
      </w:r>
      <w:r>
        <w:t xml:space="preserve">It reached 250 bps during the savings and loan crisis in the late </w:t>
      </w:r>
      <w:r w:rsidR="004B77CD">
        <w:t>1980s and</w:t>
      </w:r>
      <w:r>
        <w:t xml:space="preserve"> over 300 bps during the recent crisis</w:t>
      </w:r>
      <w:r w:rsidR="00646505">
        <w:t xml:space="preserve">. </w:t>
      </w:r>
      <w:r w:rsidRPr="00DC2D8B">
        <w:t>Interestingly</w:t>
      </w:r>
      <w:r>
        <w:t>,</w:t>
      </w:r>
      <w:r w:rsidRPr="00DC2D8B">
        <w:t xml:space="preserve"> </w:t>
      </w:r>
      <w:r>
        <w:t>the drastic increase</w:t>
      </w:r>
      <w:r w:rsidRPr="00DC2D8B">
        <w:t xml:space="preserve"> in </w:t>
      </w:r>
      <w:r>
        <w:t xml:space="preserve">the </w:t>
      </w:r>
      <w:r w:rsidRPr="00DC2D8B">
        <w:t xml:space="preserve">TED </w:t>
      </w:r>
      <w:r>
        <w:t xml:space="preserve">spread started </w:t>
      </w:r>
      <w:r w:rsidRPr="00DC2D8B">
        <w:t xml:space="preserve">around July 2007, yet </w:t>
      </w:r>
      <w:r>
        <w:t>financial statements</w:t>
      </w:r>
      <w:r w:rsidRPr="00DC2D8B">
        <w:t xml:space="preserve"> under the current mixed</w:t>
      </w:r>
      <w:r w:rsidR="002D533E">
        <w:t>-</w:t>
      </w:r>
      <w:r w:rsidRPr="00DC2D8B">
        <w:t>attribute model did</w:t>
      </w:r>
      <w:r>
        <w:t xml:space="preserve"> </w:t>
      </w:r>
      <w:r w:rsidRPr="00DC2D8B">
        <w:t>n</w:t>
      </w:r>
      <w:r>
        <w:t>o</w:t>
      </w:r>
      <w:r w:rsidRPr="00DC2D8B">
        <w:t>t start to reflect write-downs in financial instrument assets until well into 2008</w:t>
      </w:r>
      <w:r w:rsidRPr="005D618F">
        <w:t xml:space="preserve"> </w:t>
      </w:r>
      <w:r>
        <w:t>(</w:t>
      </w:r>
      <w:proofErr w:type="spellStart"/>
      <w:r>
        <w:t>Amiram</w:t>
      </w:r>
      <w:proofErr w:type="spellEnd"/>
      <w:r>
        <w:t xml:space="preserve">, Landsman, </w:t>
      </w:r>
      <w:proofErr w:type="spellStart"/>
      <w:r>
        <w:t>Peasnell</w:t>
      </w:r>
      <w:proofErr w:type="spellEnd"/>
      <w:r>
        <w:t xml:space="preserve">, and Shakespeare </w:t>
      </w:r>
      <w:r w:rsidR="006175D9">
        <w:t>201</w:t>
      </w:r>
      <w:r w:rsidR="0017244F">
        <w:t>2</w:t>
      </w:r>
      <w:r w:rsidR="00951158">
        <w:t>)</w:t>
      </w:r>
      <w:r w:rsidR="00B518C1">
        <w:t xml:space="preserve">, thereby motivating our examination </w:t>
      </w:r>
      <w:r w:rsidR="00E85130">
        <w:t>of whether fair values</w:t>
      </w:r>
      <w:r w:rsidR="001C2106">
        <w:t>, amortized cost,</w:t>
      </w:r>
      <w:r w:rsidR="00E85130">
        <w:t xml:space="preserve"> or Tier 1</w:t>
      </w:r>
      <w:r w:rsidR="00B518C1">
        <w:t xml:space="preserve"> capital provide</w:t>
      </w:r>
      <w:r w:rsidR="002D533E">
        <w:t>s</w:t>
      </w:r>
      <w:r w:rsidR="00E85130">
        <w:t xml:space="preserve"> more timely or accurate </w:t>
      </w:r>
      <w:r w:rsidR="009073AA">
        <w:t>information about</w:t>
      </w:r>
      <w:r w:rsidR="00E85130">
        <w:t xml:space="preserve"> credit risk</w:t>
      </w:r>
      <w:r>
        <w:t xml:space="preserve">. </w:t>
      </w:r>
    </w:p>
    <w:p w:rsidR="004B04BE" w:rsidRDefault="004B04BE" w:rsidP="004B04BE">
      <w:pPr>
        <w:spacing w:line="480" w:lineRule="auto"/>
        <w:ind w:firstLine="720"/>
      </w:pPr>
      <w:r>
        <w:lastRenderedPageBreak/>
        <w:t>As discussed in Linsmeier (2011), in the Japanese banking crisis in the 1990s and 2000s, as well as the more recent US financial crisis, the historical cost accounting model allowed financial institutions to hide credit problems from investors and regulators that ultimately led to their failures. Arguably, this</w:t>
      </w:r>
      <w:r w:rsidR="004B77CD">
        <w:t xml:space="preserve"> lack of disclosure</w:t>
      </w:r>
      <w:r>
        <w:t xml:space="preserve"> prevented timely action being taken to mitigate the extent of the ultimate losses born by taxpayers</w:t>
      </w:r>
      <w:r w:rsidR="003D7CE2">
        <w:t xml:space="preserve"> and</w:t>
      </w:r>
      <w:r>
        <w:t xml:space="preserve"> demonstrates the importance of examining the rol</w:t>
      </w:r>
      <w:r w:rsidR="003D7CE2">
        <w:t>e of fair value</w:t>
      </w:r>
      <w:r>
        <w:t xml:space="preserve"> versus historical cost accounting in identifying credit risk, including bank failures</w:t>
      </w:r>
      <w:r w:rsidR="00646505">
        <w:t xml:space="preserve">. </w:t>
      </w:r>
      <w:r>
        <w:t xml:space="preserve"> </w:t>
      </w:r>
    </w:p>
    <w:p w:rsidR="00441624" w:rsidRDefault="00662A17" w:rsidP="001E66CF">
      <w:pPr>
        <w:spacing w:line="480" w:lineRule="auto"/>
        <w:ind w:firstLine="720"/>
      </w:pPr>
      <w:r>
        <w:t>P</w:t>
      </w:r>
      <w:r w:rsidR="00DF3515">
        <w:t>rior literature has not examined the relationship between fair values and credit risk but instead has focused on the relationship between fair values and equity valuation</w:t>
      </w:r>
      <w:r w:rsidR="00237E79">
        <w:t>.</w:t>
      </w:r>
      <w:r w:rsidR="00237E79">
        <w:rPr>
          <w:rStyle w:val="FootnoteReference"/>
        </w:rPr>
        <w:footnoteReference w:id="11"/>
      </w:r>
      <w:r w:rsidR="00DF3515">
        <w:t xml:space="preserve"> </w:t>
      </w:r>
      <w:r w:rsidR="004B77CD">
        <w:t xml:space="preserve">As discussed </w:t>
      </w:r>
      <w:r w:rsidR="00237E79">
        <w:t xml:space="preserve">by Landsman (2007), this research demonstrates that the fair values of banks’ investment securities, loans, and derivatives are incrementally informative to their historical cost counterparts in explaining share prices. In addition, </w:t>
      </w:r>
      <w:proofErr w:type="spellStart"/>
      <w:r w:rsidR="00237E79">
        <w:t>Hodder</w:t>
      </w:r>
      <w:proofErr w:type="spellEnd"/>
      <w:r w:rsidR="00237E79">
        <w:t>, Hopkins, and Wahlen (2006)</w:t>
      </w:r>
      <w:r w:rsidR="00DF3515">
        <w:t xml:space="preserve"> show that fair values are more informative than historical costs for equity price risk</w:t>
      </w:r>
      <w:r w:rsidR="00237E79">
        <w:t xml:space="preserve"> by demonstrating that the volatility of full fair value income is more strongly associated </w:t>
      </w:r>
      <w:r w:rsidR="00885C07">
        <w:t xml:space="preserve">than is the volatility of GAAP  income </w:t>
      </w:r>
      <w:r w:rsidR="00237E79">
        <w:t>with certain equity</w:t>
      </w:r>
      <w:r w:rsidR="002D533E">
        <w:t>-</w:t>
      </w:r>
      <w:r w:rsidR="00237E79">
        <w:t>market</w:t>
      </w:r>
      <w:r w:rsidR="002D533E">
        <w:t>-</w:t>
      </w:r>
      <w:r w:rsidR="004B77CD">
        <w:t>based measures of firm risk</w:t>
      </w:r>
      <w:r w:rsidR="00237E79">
        <w:t>,</w:t>
      </w:r>
      <w:r w:rsidR="004B77CD">
        <w:t xml:space="preserve"> including</w:t>
      </w:r>
      <w:r w:rsidR="00237E79">
        <w:t xml:space="preserve"> market-model beta, interest-rate bet</w:t>
      </w:r>
      <w:r w:rsidR="004B77CD">
        <w:t>as, and stock-return volatility</w:t>
      </w:r>
      <w:r w:rsidR="00646505">
        <w:t xml:space="preserve">. </w:t>
      </w:r>
      <w:r w:rsidR="007B39CB">
        <w:t xml:space="preserve">This body of research that focuses on </w:t>
      </w:r>
      <w:r w:rsidR="004B04BE">
        <w:t>equity</w:t>
      </w:r>
      <w:r w:rsidR="00E85130">
        <w:t>-</w:t>
      </w:r>
      <w:r w:rsidR="004B04BE">
        <w:t>market</w:t>
      </w:r>
      <w:r w:rsidR="00E85130">
        <w:t>-</w:t>
      </w:r>
      <w:r w:rsidR="004B04BE">
        <w:t>based</w:t>
      </w:r>
      <w:r w:rsidR="00DF55DB">
        <w:t xml:space="preserve"> metrics</w:t>
      </w:r>
      <w:r w:rsidR="003E409A">
        <w:t xml:space="preserve">, which </w:t>
      </w:r>
      <w:r w:rsidR="00237E79">
        <w:t>are</w:t>
      </w:r>
      <w:r w:rsidR="003E409A" w:rsidRPr="003E409A">
        <w:t xml:space="preserve"> </w:t>
      </w:r>
      <w:r w:rsidR="003E409A">
        <w:t>the most commonly used benchmark</w:t>
      </w:r>
      <w:r w:rsidR="00237E79">
        <w:t>s</w:t>
      </w:r>
      <w:r w:rsidR="003E409A">
        <w:t xml:space="preserve"> for assessing the informativeness of various accounting treatments, </w:t>
      </w:r>
      <w:r w:rsidR="007B39CB">
        <w:t>reflect</w:t>
      </w:r>
      <w:r w:rsidR="002C56F8">
        <w:t>s</w:t>
      </w:r>
      <w:r w:rsidR="007B39CB">
        <w:t xml:space="preserve"> on the </w:t>
      </w:r>
      <w:r w:rsidR="00FF6987">
        <w:t xml:space="preserve">potential role </w:t>
      </w:r>
      <w:r w:rsidR="004B4BC1">
        <w:t>of fair</w:t>
      </w:r>
      <w:r w:rsidR="007B39CB">
        <w:t xml:space="preserve"> values </w:t>
      </w:r>
      <w:r w:rsidR="00FF6987">
        <w:t xml:space="preserve">in </w:t>
      </w:r>
      <w:r w:rsidR="007B39CB">
        <w:t xml:space="preserve">investors’ </w:t>
      </w:r>
      <w:r w:rsidR="00E85130">
        <w:rPr>
          <w:i/>
        </w:rPr>
        <w:t>pricing</w:t>
      </w:r>
      <w:r w:rsidR="00E85130">
        <w:t xml:space="preserve"> </w:t>
      </w:r>
      <w:r w:rsidR="007B39CB">
        <w:t>decisions</w:t>
      </w:r>
      <w:r w:rsidR="00646505">
        <w:t xml:space="preserve">. </w:t>
      </w:r>
    </w:p>
    <w:p w:rsidR="005D62AD" w:rsidRDefault="00603756" w:rsidP="005D62AD">
      <w:pPr>
        <w:spacing w:line="480" w:lineRule="auto"/>
        <w:ind w:firstLine="720"/>
      </w:pPr>
      <w:r>
        <w:t xml:space="preserve">We believe that our analysis of credit risk </w:t>
      </w:r>
      <w:r w:rsidR="004B77CD">
        <w:t xml:space="preserve">offers </w:t>
      </w:r>
      <w:r>
        <w:t>insights beyond that provided by the equity</w:t>
      </w:r>
      <w:r w:rsidR="00AA2753">
        <w:t>-</w:t>
      </w:r>
      <w:r w:rsidR="00BD5902">
        <w:t>market</w:t>
      </w:r>
      <w:r w:rsidR="00AA2753">
        <w:t>-</w:t>
      </w:r>
      <w:r>
        <w:t>based research for several reasons</w:t>
      </w:r>
      <w:r w:rsidR="00646505">
        <w:t xml:space="preserve">. </w:t>
      </w:r>
      <w:r>
        <w:t xml:space="preserve">First, </w:t>
      </w:r>
      <w:r w:rsidR="002C56F8">
        <w:t xml:space="preserve">one </w:t>
      </w:r>
      <w:r w:rsidR="00951158">
        <w:t>should not assume</w:t>
      </w:r>
      <w:r w:rsidR="002C56F8">
        <w:t xml:space="preserve"> that </w:t>
      </w:r>
      <w:r w:rsidR="00AA2753">
        <w:t xml:space="preserve">results in </w:t>
      </w:r>
      <w:r w:rsidR="004B04BE">
        <w:t>equity market</w:t>
      </w:r>
      <w:r w:rsidR="00AA2753">
        <w:t>s</w:t>
      </w:r>
      <w:r w:rsidR="002C56F8">
        <w:t xml:space="preserve"> </w:t>
      </w:r>
      <w:r w:rsidR="004B04BE">
        <w:t xml:space="preserve">will carry over to credit markets because </w:t>
      </w:r>
      <w:r w:rsidR="005D62AD">
        <w:t>prior research suggests that info</w:t>
      </w:r>
      <w:r w:rsidR="004B77CD">
        <w:t xml:space="preserve">rmation </w:t>
      </w:r>
      <w:r w:rsidR="004B77CD">
        <w:lastRenderedPageBreak/>
        <w:t>in credit markets is priced differently</w:t>
      </w:r>
      <w:r w:rsidR="005D62AD">
        <w:t xml:space="preserve"> </w:t>
      </w:r>
      <w:r w:rsidR="00885C07">
        <w:t xml:space="preserve">from </w:t>
      </w:r>
      <w:r w:rsidR="005D62AD">
        <w:t xml:space="preserve">information in equity markets. Campbell and </w:t>
      </w:r>
      <w:proofErr w:type="spellStart"/>
      <w:r w:rsidR="005D62AD">
        <w:t>Taksler</w:t>
      </w:r>
      <w:proofErr w:type="spellEnd"/>
      <w:r w:rsidR="005D62AD">
        <w:t xml:space="preserve"> (2003) compare bond markets and equity markets, which are associated with credit risk and equity risk, respectively, and provide several theoretical reasons for why the markets’ movements differ. For example, an increase in investors’ beliefs about future earnings is likely to increase equity market</w:t>
      </w:r>
      <w:r w:rsidR="00951158">
        <w:t xml:space="preserve"> value</w:t>
      </w:r>
      <w:r w:rsidR="00885C07">
        <w:t>s</w:t>
      </w:r>
      <w:r w:rsidR="005D62AD">
        <w:t xml:space="preserve"> more than the bond market </w:t>
      </w:r>
      <w:r w:rsidR="00951158">
        <w:t>value</w:t>
      </w:r>
      <w:r w:rsidR="00885C07">
        <w:t>s</w:t>
      </w:r>
      <w:r w:rsidR="00951158">
        <w:t xml:space="preserve"> </w:t>
      </w:r>
      <w:r w:rsidR="005D62AD">
        <w:t>because bondholders do not have the upside potential of equity. Similarly, volatility of firm value</w:t>
      </w:r>
      <w:r w:rsidR="00885C07">
        <w:t>s</w:t>
      </w:r>
      <w:r w:rsidR="005D62AD">
        <w:t xml:space="preserve"> has opposite effects on equity and bond prices</w:t>
      </w:r>
      <w:r w:rsidR="00AA0D6A">
        <w:t>, because higher volatility hurts bondholders through an increased probability of default but helps equity</w:t>
      </w:r>
      <w:r w:rsidR="00CA3F91">
        <w:t xml:space="preserve"> </w:t>
      </w:r>
      <w:r w:rsidR="00AA0D6A">
        <w:t>holders with</w:t>
      </w:r>
      <w:r w:rsidR="00112FFF">
        <w:t xml:space="preserve"> respect to</w:t>
      </w:r>
      <w:r w:rsidR="00AA0D6A">
        <w:t xml:space="preserve"> the related increased positive effect</w:t>
      </w:r>
      <w:r w:rsidR="005D62AD">
        <w:t>.</w:t>
      </w:r>
      <w:r w:rsidR="001B3B84">
        <w:t xml:space="preserve"> </w:t>
      </w:r>
      <w:r w:rsidR="001C2106">
        <w:t xml:space="preserve">Furthermore, </w:t>
      </w:r>
      <w:proofErr w:type="spellStart"/>
      <w:r w:rsidR="001B3B84">
        <w:t>Dichev</w:t>
      </w:r>
      <w:proofErr w:type="spellEnd"/>
      <w:r w:rsidR="001B3B84">
        <w:t xml:space="preserve"> (1998) provides evidence that equity markets do not </w:t>
      </w:r>
      <w:r w:rsidR="00066B2A">
        <w:t xml:space="preserve">fully </w:t>
      </w:r>
      <w:r w:rsidR="001B3B84">
        <w:t xml:space="preserve">impound credit risk. </w:t>
      </w:r>
      <w:r w:rsidR="001C2106">
        <w:t>Consistent with differences between credit</w:t>
      </w:r>
      <w:r w:rsidR="00ED0311">
        <w:t xml:space="preserve"> markets</w:t>
      </w:r>
      <w:r w:rsidR="001C2106">
        <w:t xml:space="preserve"> and</w:t>
      </w:r>
      <w:r w:rsidR="00ED0311">
        <w:t xml:space="preserve"> </w:t>
      </w:r>
      <w:r w:rsidR="001C2106">
        <w:t>equity markets</w:t>
      </w:r>
      <w:r w:rsidR="005D62AD">
        <w:t>, empirical studies often examine each</w:t>
      </w:r>
      <w:r w:rsidR="001B3B84">
        <w:t xml:space="preserve"> market</w:t>
      </w:r>
      <w:r w:rsidR="005D62AD">
        <w:t xml:space="preserve"> separately. For example, Barth, </w:t>
      </w:r>
      <w:proofErr w:type="spellStart"/>
      <w:r w:rsidR="005D62AD">
        <w:t>Ormazabal</w:t>
      </w:r>
      <w:proofErr w:type="spellEnd"/>
      <w:r w:rsidR="005D62AD">
        <w:t xml:space="preserve">, and Taylor (2012) examine the sources of credit risk associated with asset securitizations, and they find that bond markets assess credit risk similar to equity markets, but rating agencies assess credit risk differently. </w:t>
      </w:r>
      <w:proofErr w:type="spellStart"/>
      <w:r w:rsidR="005D62AD">
        <w:t>Veronesi</w:t>
      </w:r>
      <w:proofErr w:type="spellEnd"/>
      <w:r w:rsidR="005D62AD">
        <w:t xml:space="preserve"> and </w:t>
      </w:r>
      <w:proofErr w:type="spellStart"/>
      <w:r w:rsidR="005D62AD">
        <w:t>Zingales</w:t>
      </w:r>
      <w:proofErr w:type="spellEnd"/>
      <w:r w:rsidR="005D62AD">
        <w:t xml:space="preserve"> (2010) examine the market response to the announcement of TARP for a sample of impact</w:t>
      </w:r>
      <w:r w:rsidR="008F376F">
        <w:t>ed</w:t>
      </w:r>
      <w:r w:rsidR="005D62AD">
        <w:t xml:space="preserve"> banks, and they find that the bond and equity markets responded very d</w:t>
      </w:r>
      <w:r w:rsidR="001B3B84">
        <w:t>ifferently</w:t>
      </w:r>
      <w:r w:rsidR="00646505">
        <w:t xml:space="preserve">. </w:t>
      </w:r>
      <w:r w:rsidR="005D62AD">
        <w:t xml:space="preserve"> </w:t>
      </w:r>
    </w:p>
    <w:p w:rsidR="00860032" w:rsidRDefault="00D458D0" w:rsidP="00860032">
      <w:pPr>
        <w:pStyle w:val="NormalWeb"/>
        <w:spacing w:before="0" w:beforeAutospacing="0" w:after="0" w:afterAutospacing="0" w:line="480" w:lineRule="auto"/>
        <w:ind w:firstLine="720"/>
      </w:pPr>
      <w:r>
        <w:t>The second</w:t>
      </w:r>
      <w:r w:rsidR="00662A17">
        <w:t xml:space="preserve"> benefit of </w:t>
      </w:r>
      <w:r w:rsidR="00750717">
        <w:t>focusing on</w:t>
      </w:r>
      <w:r w:rsidR="00662A17">
        <w:t xml:space="preserve"> credit risk is that </w:t>
      </w:r>
      <w:r w:rsidR="00603756">
        <w:t xml:space="preserve">it </w:t>
      </w:r>
      <w:r w:rsidR="00D7632F">
        <w:t xml:space="preserve">allows </w:t>
      </w:r>
      <w:r w:rsidR="00603756">
        <w:t xml:space="preserve">us to </w:t>
      </w:r>
      <w:r w:rsidR="00532535">
        <w:t>investigate</w:t>
      </w:r>
      <w:r w:rsidR="00603756">
        <w:t xml:space="preserve"> the relationship between fair values and </w:t>
      </w:r>
      <w:r w:rsidR="00662A17">
        <w:t>bank failure</w:t>
      </w:r>
      <w:r w:rsidR="00646505">
        <w:t xml:space="preserve">. </w:t>
      </w:r>
      <w:r w:rsidR="00662A17">
        <w:t xml:space="preserve">Bank failure is </w:t>
      </w:r>
      <w:r w:rsidR="00495C87">
        <w:t>an outcome</w:t>
      </w:r>
      <w:r w:rsidR="00662A17">
        <w:t xml:space="preserve"> of extreme credit risk</w:t>
      </w:r>
      <w:r w:rsidR="00603756">
        <w:t xml:space="preserve"> and does</w:t>
      </w:r>
      <w:r w:rsidR="00ED0311">
        <w:t xml:space="preserve"> not</w:t>
      </w:r>
      <w:r w:rsidR="00603756">
        <w:t xml:space="preserve"> rely on any market</w:t>
      </w:r>
      <w:r w:rsidR="006A0443">
        <w:t>-</w:t>
      </w:r>
      <w:r w:rsidR="00603756">
        <w:t>based measure to infer credit risk</w:t>
      </w:r>
      <w:r w:rsidR="00BF3CF4">
        <w:t>.  As a result,</w:t>
      </w:r>
      <w:r w:rsidR="00BC7588">
        <w:t xml:space="preserve"> </w:t>
      </w:r>
      <w:r w:rsidR="00BF3CF4">
        <w:t xml:space="preserve">our tests on bank failure </w:t>
      </w:r>
      <w:r w:rsidR="00BC7588">
        <w:t>do</w:t>
      </w:r>
      <w:r w:rsidR="00ED0311">
        <w:t xml:space="preserve"> not </w:t>
      </w:r>
      <w:r w:rsidR="00BC7588">
        <w:t xml:space="preserve">rely on an assumption of market efficiency that underlies </w:t>
      </w:r>
      <w:r w:rsidR="00BD5902">
        <w:t>most market</w:t>
      </w:r>
      <w:r w:rsidR="006A0443">
        <w:t>-</w:t>
      </w:r>
      <w:r w:rsidR="00BD5902">
        <w:t>based studies</w:t>
      </w:r>
      <w:r w:rsidR="00646505">
        <w:t xml:space="preserve">. </w:t>
      </w:r>
      <w:r w:rsidR="00603756">
        <w:t xml:space="preserve"> </w:t>
      </w:r>
      <w:r w:rsidR="007C63C4">
        <w:t xml:space="preserve">Furthermore, </w:t>
      </w:r>
      <w:r w:rsidR="00B047AF">
        <w:t xml:space="preserve">if our tests on bank failure confirm our results on bond yield spreads, this would help </w:t>
      </w:r>
      <w:r w:rsidR="007C63C4">
        <w:t xml:space="preserve">alleviate the concern that the relation between bond yield spreads and fair value leverage is driven by </w:t>
      </w:r>
      <w:r w:rsidR="00B047AF">
        <w:t xml:space="preserve">an </w:t>
      </w:r>
      <w:r w:rsidR="007C63C4">
        <w:t>endogeneity</w:t>
      </w:r>
      <w:r w:rsidR="00B047AF">
        <w:t xml:space="preserve"> in market-based measures that is unrelated to credit risk</w:t>
      </w:r>
      <w:r w:rsidR="007C63C4">
        <w:t xml:space="preserve"> </w:t>
      </w:r>
      <w:r w:rsidR="007C63C4">
        <w:lastRenderedPageBreak/>
        <w:t xml:space="preserve">(i.e., the possibility </w:t>
      </w:r>
      <w:r w:rsidR="00B047AF">
        <w:t xml:space="preserve">that </w:t>
      </w:r>
      <w:r w:rsidR="007C63C4">
        <w:t xml:space="preserve">an omitted </w:t>
      </w:r>
      <w:r w:rsidR="00B047AF">
        <w:t xml:space="preserve">market </w:t>
      </w:r>
      <w:r w:rsidR="007C63C4">
        <w:t>variable</w:t>
      </w:r>
      <w:r w:rsidR="00BF3CF4">
        <w:t xml:space="preserve">, such as uninformative noise, </w:t>
      </w:r>
      <w:r w:rsidR="00066B2A">
        <w:t>which</w:t>
      </w:r>
      <w:r w:rsidR="007C63C4">
        <w:t xml:space="preserve"> is </w:t>
      </w:r>
      <w:r w:rsidR="00346EA7">
        <w:t>reflected in</w:t>
      </w:r>
      <w:r w:rsidR="007C63C4">
        <w:t xml:space="preserve"> both bond yield spreads and fair values</w:t>
      </w:r>
      <w:r w:rsidR="00066B2A">
        <w:t>,</w:t>
      </w:r>
      <w:r w:rsidR="007C63C4">
        <w:t xml:space="preserve"> </w:t>
      </w:r>
      <w:r w:rsidR="00B047AF">
        <w:t>is driving our results</w:t>
      </w:r>
      <w:r w:rsidR="007C63C4">
        <w:t>).</w:t>
      </w:r>
      <w:r w:rsidR="00603756">
        <w:t xml:space="preserve"> </w:t>
      </w:r>
    </w:p>
    <w:p w:rsidR="007D19A3" w:rsidRDefault="00773E49" w:rsidP="00AB5937">
      <w:pPr>
        <w:spacing w:line="480" w:lineRule="auto"/>
        <w:ind w:firstLine="720"/>
      </w:pPr>
      <w:r>
        <w:t xml:space="preserve"> </w:t>
      </w:r>
      <w:r w:rsidR="00603756">
        <w:t xml:space="preserve">Third, </w:t>
      </w:r>
      <w:r w:rsidR="009C7B34">
        <w:t xml:space="preserve">our focus on credit risk </w:t>
      </w:r>
      <w:r w:rsidR="006A0443">
        <w:t xml:space="preserve">as measured by bond yield spreads </w:t>
      </w:r>
      <w:r w:rsidR="009C7B34">
        <w:t xml:space="preserve">allows us to assess </w:t>
      </w:r>
      <w:r w:rsidR="006A0443">
        <w:t xml:space="preserve">more directly </w:t>
      </w:r>
      <w:r w:rsidR="009C7B34">
        <w:t xml:space="preserve">whether the information provided by management on credit risk within the current GAAP and </w:t>
      </w:r>
      <w:r w:rsidR="00110770">
        <w:t>Tier 1 measurement systems</w:t>
      </w:r>
      <w:r w:rsidR="009C7B34">
        <w:t>, as reflected</w:t>
      </w:r>
      <w:r w:rsidR="00110770">
        <w:t>, for example,</w:t>
      </w:r>
      <w:r w:rsidR="009C7B34">
        <w:t xml:space="preserve"> in the allowance for loan losses and other than temporary impairments</w:t>
      </w:r>
      <w:r w:rsidR="00110770">
        <w:t xml:space="preserve"> of held-to-maturity securities,</w:t>
      </w:r>
      <w:r w:rsidR="009C7B34">
        <w:t xml:space="preserve"> is more highly associated with credit risk than the information about credit risk reflected in the fair value measurements of financial instruments</w:t>
      </w:r>
      <w:r w:rsidR="00646505">
        <w:t xml:space="preserve">. </w:t>
      </w:r>
      <w:r w:rsidR="006A0443">
        <w:t xml:space="preserve">The presence of additional risks in equity market </w:t>
      </w:r>
      <w:r w:rsidR="00110770">
        <w:t xml:space="preserve">metrics </w:t>
      </w:r>
      <w:r w:rsidR="00D10078">
        <w:t>make</w:t>
      </w:r>
      <w:r w:rsidR="00ED0311">
        <w:t>s</w:t>
      </w:r>
      <w:r w:rsidR="006A0443">
        <w:t xml:space="preserve"> it more difficult to infer </w:t>
      </w:r>
      <w:r w:rsidR="00D10078">
        <w:t>which</w:t>
      </w:r>
      <w:r w:rsidR="006A0443">
        <w:t xml:space="preserve"> components of fair value </w:t>
      </w:r>
      <w:r w:rsidR="000D4530">
        <w:t xml:space="preserve">(e.g., interest rate or </w:t>
      </w:r>
      <w:r w:rsidR="00D10078">
        <w:t xml:space="preserve">credit risk) </w:t>
      </w:r>
      <w:r w:rsidR="006A0443">
        <w:t>are driving the incremental explanatory power of fair values over GAAP numbers in prior equity market research. Because bond yield spreads exclude the effects of interest rate risk from the dependent variable</w:t>
      </w:r>
      <w:r w:rsidR="00110770">
        <w:t xml:space="preserve">, </w:t>
      </w:r>
      <w:r w:rsidR="001D12F0">
        <w:t>leaving primaril</w:t>
      </w:r>
      <w:r w:rsidR="003D200D">
        <w:t>y</w:t>
      </w:r>
      <w:r w:rsidR="009073AA">
        <w:t xml:space="preserve"> a measure of</w:t>
      </w:r>
      <w:r w:rsidR="003D200D">
        <w:t xml:space="preserve"> </w:t>
      </w:r>
      <w:r w:rsidR="001D12F0">
        <w:t>credit and liquidity risk</w:t>
      </w:r>
      <w:r w:rsidR="00D10078">
        <w:t>, we</w:t>
      </w:r>
      <w:r w:rsidR="00110770">
        <w:t xml:space="preserve"> can</w:t>
      </w:r>
      <w:r w:rsidR="00D10078">
        <w:t xml:space="preserve"> </w:t>
      </w:r>
      <w:r w:rsidR="000D4530">
        <w:t>assess</w:t>
      </w:r>
      <w:r w:rsidR="001D12F0">
        <w:t xml:space="preserve"> more </w:t>
      </w:r>
      <w:r w:rsidR="007D19A3">
        <w:t>directly</w:t>
      </w:r>
      <w:r w:rsidR="001D12F0">
        <w:t xml:space="preserve"> the relative informativeness of alternative accounting measures for credit risk</w:t>
      </w:r>
      <w:r w:rsidR="003D200D">
        <w:t xml:space="preserve">. </w:t>
      </w:r>
      <w:r w:rsidR="00AE3358">
        <w:t xml:space="preserve">This </w:t>
      </w:r>
      <w:r w:rsidR="004A4B8D">
        <w:t>provides us with the ability</w:t>
      </w:r>
      <w:r w:rsidR="00AE3358">
        <w:t xml:space="preserve"> </w:t>
      </w:r>
      <w:r w:rsidR="007D19A3">
        <w:t>to make st</w:t>
      </w:r>
      <w:r w:rsidR="000D4530">
        <w:t>r</w:t>
      </w:r>
      <w:r w:rsidR="007D19A3">
        <w:t>onger inferences about</w:t>
      </w:r>
      <w:r w:rsidR="00404335">
        <w:t xml:space="preserve"> </w:t>
      </w:r>
      <w:r w:rsidR="009C7B34">
        <w:t xml:space="preserve">whether </w:t>
      </w:r>
      <w:r w:rsidR="00D458D0">
        <w:t>the information provided</w:t>
      </w:r>
      <w:r w:rsidR="00404335">
        <w:t xml:space="preserve"> in the fair values of financial instruments is more highly associated with credit risk than the</w:t>
      </w:r>
      <w:r w:rsidR="00D458D0">
        <w:t xml:space="preserve"> </w:t>
      </w:r>
      <w:r w:rsidR="00404335">
        <w:t xml:space="preserve">information provided by </w:t>
      </w:r>
      <w:r w:rsidR="009C7B34">
        <w:t xml:space="preserve">bank management </w:t>
      </w:r>
      <w:r w:rsidR="00404335">
        <w:t>in its estimates of the net realizable value</w:t>
      </w:r>
      <w:r w:rsidR="008B078D">
        <w:t>s</w:t>
      </w:r>
      <w:r w:rsidR="00404335">
        <w:t xml:space="preserve"> of </w:t>
      </w:r>
      <w:r w:rsidR="00FF00D0">
        <w:t>th</w:t>
      </w:r>
      <w:r w:rsidR="00404335">
        <w:t>o</w:t>
      </w:r>
      <w:r w:rsidR="00FF00D0">
        <w:t xml:space="preserve">se instruments. </w:t>
      </w:r>
    </w:p>
    <w:p w:rsidR="006175D9" w:rsidRDefault="00381E3A" w:rsidP="009D3006">
      <w:pPr>
        <w:spacing w:line="480" w:lineRule="auto"/>
        <w:ind w:firstLine="720"/>
      </w:pPr>
      <w:r>
        <w:t xml:space="preserve">Our study therefore </w:t>
      </w:r>
      <w:r w:rsidR="00404335">
        <w:t xml:space="preserve">provides an incremental contribution beyond prior </w:t>
      </w:r>
      <w:r w:rsidR="004A4B8D">
        <w:t xml:space="preserve">equity-market-based </w:t>
      </w:r>
      <w:r w:rsidR="00404335">
        <w:t xml:space="preserve">research by </w:t>
      </w:r>
      <w:r w:rsidR="0011797C">
        <w:t>employing a design that isolates</w:t>
      </w:r>
      <w:r w:rsidR="00660C70">
        <w:t xml:space="preserve"> more directly the credit-risk relevance of alternative accounting measures</w:t>
      </w:r>
      <w:r w:rsidR="00110770">
        <w:t>. Ours is also</w:t>
      </w:r>
      <w:r w:rsidR="00660C70">
        <w:t xml:space="preserve"> the first study to explore whether </w:t>
      </w:r>
      <w:r w:rsidR="0011797C">
        <w:t>measuring</w:t>
      </w:r>
      <w:r w:rsidR="00660C70">
        <w:t xml:space="preserve"> all financial instruments </w:t>
      </w:r>
      <w:r w:rsidR="0011797C">
        <w:t xml:space="preserve">at fair value </w:t>
      </w:r>
      <w:r w:rsidR="00660C70">
        <w:t>provide</w:t>
      </w:r>
      <w:r w:rsidR="0011797C">
        <w:t>s</w:t>
      </w:r>
      <w:r w:rsidR="00660C70">
        <w:t xml:space="preserve"> incremental information to GAAP or Tier 1 capital in the alternate and economically significant credit market setting</w:t>
      </w:r>
      <w:r w:rsidR="00AB5937">
        <w:t>.</w:t>
      </w:r>
      <w:r w:rsidR="00005A2D">
        <w:rPr>
          <w:rStyle w:val="FootnoteReference"/>
        </w:rPr>
        <w:footnoteReference w:id="12"/>
      </w:r>
      <w:r w:rsidR="001002FA">
        <w:t xml:space="preserve"> </w:t>
      </w:r>
      <w:r>
        <w:t xml:space="preserve"> </w:t>
      </w:r>
      <w:r w:rsidR="006175D9">
        <w:t xml:space="preserve">     </w:t>
      </w:r>
    </w:p>
    <w:p w:rsidR="001002FA" w:rsidRPr="00A75147" w:rsidRDefault="001002FA" w:rsidP="00085790">
      <w:pPr>
        <w:pStyle w:val="BodyTextIndent"/>
        <w:numPr>
          <w:ilvl w:val="0"/>
          <w:numId w:val="2"/>
        </w:numPr>
        <w:jc w:val="center"/>
        <w:rPr>
          <w:b/>
          <w:bCs/>
        </w:rPr>
      </w:pPr>
      <w:r>
        <w:rPr>
          <w:b/>
          <w:bCs/>
        </w:rPr>
        <w:lastRenderedPageBreak/>
        <w:t xml:space="preserve">LEVERAGE </w:t>
      </w:r>
      <w:r w:rsidR="00CA59B1">
        <w:rPr>
          <w:b/>
          <w:bCs/>
        </w:rPr>
        <w:t>RATIOS</w:t>
      </w:r>
    </w:p>
    <w:p w:rsidR="00BC7588" w:rsidRDefault="00BC7588" w:rsidP="00BC7588">
      <w:pPr>
        <w:spacing w:line="480" w:lineRule="auto"/>
        <w:ind w:firstLine="720"/>
      </w:pPr>
      <w:r>
        <w:t>We focus on leverage as an accounting-based measure of credit risk because leverage measured as assets d</w:t>
      </w:r>
      <w:r w:rsidR="00110770">
        <w:t xml:space="preserve">ivided by stockholders’ equity </w:t>
      </w:r>
      <w:r>
        <w:t>or</w:t>
      </w:r>
      <w:r w:rsidR="00EA3FB5">
        <w:t>,</w:t>
      </w:r>
      <w:r>
        <w:t xml:space="preserve"> in our case, tangible assets di</w:t>
      </w:r>
      <w:r w:rsidR="00110770">
        <w:t>vided by tangible common equity,</w:t>
      </w:r>
      <w:r>
        <w:t xml:space="preserve"> is considered to be the elasticity of equity value with respect to the value of assets</w:t>
      </w:r>
      <w:r w:rsidR="00646505">
        <w:t xml:space="preserve">. </w:t>
      </w:r>
      <w:r>
        <w:t>A leverage ratio signifies how much equity will change given a one-percentage point return on assets</w:t>
      </w:r>
      <w:r w:rsidR="00646505">
        <w:t xml:space="preserve">. </w:t>
      </w:r>
      <w:r>
        <w:t>For example, if a bank has a leverage ratio of 10 then if assets fall (rise) in value by one percentage point, the value of equity will fall (rise) by 10 percentage points</w:t>
      </w:r>
      <w:r w:rsidR="00646505">
        <w:t xml:space="preserve">. </w:t>
      </w:r>
      <w:r>
        <w:t>The higher a bank’s leverage ratio, the larger impact a fall in asset prices will have on the solvency of the bank</w:t>
      </w:r>
      <w:r w:rsidR="00646505">
        <w:t xml:space="preserve">. </w:t>
      </w:r>
      <w:r>
        <w:t>Since the 1980s, bank regulators have monitored leverage ratios to help restrict the risk taken by banks.</w:t>
      </w:r>
      <w:r>
        <w:rPr>
          <w:rStyle w:val="FootnoteReference"/>
        </w:rPr>
        <w:footnoteReference w:id="13"/>
      </w:r>
      <w:r>
        <w:t xml:space="preserve">   </w:t>
      </w:r>
    </w:p>
    <w:p w:rsidR="00DF684D" w:rsidRDefault="001002FA" w:rsidP="00CF1D66">
      <w:pPr>
        <w:pStyle w:val="BodyTextIndent"/>
      </w:pPr>
      <w:r>
        <w:t xml:space="preserve">For our primary analysis, we calculate leverage using the data provided by the SNL </w:t>
      </w:r>
      <w:r w:rsidR="00E214C6">
        <w:t xml:space="preserve">Financial </w:t>
      </w:r>
      <w:r w:rsidR="006E4765">
        <w:t>database</w:t>
      </w:r>
      <w:r w:rsidR="00646505">
        <w:t xml:space="preserve">. </w:t>
      </w:r>
      <w:r>
        <w:t xml:space="preserve">SNL data </w:t>
      </w:r>
      <w:r w:rsidR="009E1117">
        <w:t>are</w:t>
      </w:r>
      <w:r>
        <w:t xml:space="preserve"> collected from the bank holding company 10-Ks filed with the SEC and from Y9-C reports filed with the Federal Reserve</w:t>
      </w:r>
      <w:r w:rsidR="00646505">
        <w:t xml:space="preserve">. </w:t>
      </w:r>
      <w:r w:rsidR="00DF684D">
        <w:t xml:space="preserve">We rely on TCE-based leverage measures </w:t>
      </w:r>
      <w:r w:rsidR="0057196F">
        <w:t xml:space="preserve">with TCE defined as </w:t>
      </w:r>
      <w:r w:rsidR="0057196F" w:rsidRPr="007F1EC7">
        <w:t>tangible</w:t>
      </w:r>
      <w:r w:rsidR="006E4765">
        <w:t xml:space="preserve"> assets, plus mortgage servicing rights,</w:t>
      </w:r>
      <w:r w:rsidR="0057196F">
        <w:t xml:space="preserve"> divided by </w:t>
      </w:r>
      <w:r w:rsidR="0057196F" w:rsidRPr="007F1EC7">
        <w:t>tangible</w:t>
      </w:r>
      <w:r w:rsidR="006E4765">
        <w:t xml:space="preserve"> assets, plus mortgage servicing rights,</w:t>
      </w:r>
      <w:r w:rsidR="0057196F">
        <w:t xml:space="preserve"> less the </w:t>
      </w:r>
      <w:r w:rsidR="0057196F" w:rsidRPr="007F1EC7">
        <w:t>sum</w:t>
      </w:r>
      <w:r w:rsidR="0057196F" w:rsidRPr="0020346C">
        <w:t xml:space="preserve"> </w:t>
      </w:r>
      <w:r w:rsidR="0057196F">
        <w:t>of l</w:t>
      </w:r>
      <w:r w:rsidR="00C56FC5">
        <w:t>iabilities and preferred stock</w:t>
      </w:r>
      <w:r w:rsidR="00646505">
        <w:t xml:space="preserve">. </w:t>
      </w:r>
      <w:r w:rsidR="0057196F">
        <w:t xml:space="preserve">TCE is </w:t>
      </w:r>
      <w:r w:rsidR="00DF684D">
        <w:t xml:space="preserve">increasingly being used by regulators and investors with the belief that TCE is a better measure </w:t>
      </w:r>
      <w:r w:rsidR="006E4765">
        <w:t xml:space="preserve">than other capital ratios </w:t>
      </w:r>
      <w:r w:rsidR="00DF684D">
        <w:t>of a bank’s ability to absorb losses</w:t>
      </w:r>
      <w:r w:rsidR="00646505">
        <w:t xml:space="preserve">. </w:t>
      </w:r>
      <w:r w:rsidR="00DF684D">
        <w:t xml:space="preserve">The 2009 stress tests </w:t>
      </w:r>
      <w:r w:rsidR="00DF684D">
        <w:lastRenderedPageBreak/>
        <w:t>performed by the Federal Reserve Board on the largest 19 US banks focused on TCE (Sloan and Hopkins 2009)</w:t>
      </w:r>
      <w:r w:rsidR="00646505">
        <w:t xml:space="preserve">. </w:t>
      </w:r>
      <w:r w:rsidR="00DF684D">
        <w:t>In addition, the Basel Committee is proposing to require that all bank regulators rely more on TCE-based capital measures.</w:t>
      </w:r>
      <w:r w:rsidR="00DF684D">
        <w:rPr>
          <w:rStyle w:val="FootnoteReference"/>
        </w:rPr>
        <w:footnoteReference w:id="14"/>
      </w:r>
      <w:r w:rsidR="00DF684D">
        <w:t xml:space="preserve">  </w:t>
      </w:r>
    </w:p>
    <w:p w:rsidR="00111577" w:rsidRDefault="00DF684D" w:rsidP="00111577">
      <w:pPr>
        <w:spacing w:line="480" w:lineRule="auto"/>
        <w:ind w:firstLine="720"/>
        <w:rPr>
          <w:rStyle w:val="Emphasis"/>
          <w:i w:val="0"/>
          <w:iCs w:val="0"/>
          <w:color w:val="000000"/>
        </w:rPr>
      </w:pPr>
      <w:r>
        <w:t>We first</w:t>
      </w:r>
      <w:r w:rsidR="00FF7456">
        <w:t xml:space="preserve"> calculate leverage using the fair values of all financial instruments, both assets and liabilities,</w:t>
      </w:r>
      <w:r w:rsidR="00174A11">
        <w:t xml:space="preserve"> </w:t>
      </w:r>
      <w:r w:rsidR="00066D5F">
        <w:t xml:space="preserve">which we </w:t>
      </w:r>
      <w:r w:rsidR="00FF7456">
        <w:t>denote</w:t>
      </w:r>
      <w:r w:rsidR="00F17A7F">
        <w:t xml:space="preserve"> </w:t>
      </w:r>
      <w:r w:rsidR="00FF7456">
        <w:t xml:space="preserve">as </w:t>
      </w:r>
      <w:r w:rsidR="00FF7456" w:rsidRPr="002C2FCF">
        <w:rPr>
          <w:b/>
        </w:rPr>
        <w:t>FV</w:t>
      </w:r>
      <w:r w:rsidR="00646505">
        <w:t xml:space="preserve">. </w:t>
      </w:r>
      <w:r w:rsidR="00FF7456">
        <w:t xml:space="preserve">To calculate </w:t>
      </w:r>
      <w:r w:rsidR="00FF4FE4" w:rsidRPr="00EF1B5D">
        <w:rPr>
          <w:b/>
        </w:rPr>
        <w:t>FV</w:t>
      </w:r>
      <w:r w:rsidR="00FF7456">
        <w:t>, we start with the GAAP reported assets and liabilities and adjust the financial instruments to fair value using the footnote disclosures on the fair values of financial instruments</w:t>
      </w:r>
      <w:r w:rsidR="00646505">
        <w:t xml:space="preserve">. </w:t>
      </w:r>
      <w:r w:rsidR="00567DCB">
        <w:t>These disclosures</w:t>
      </w:r>
      <w:r w:rsidR="00FF7456">
        <w:t xml:space="preserve"> include the fair values of</w:t>
      </w:r>
      <w:r w:rsidR="00567DCB">
        <w:t xml:space="preserve"> loans, deposits, </w:t>
      </w:r>
      <w:r w:rsidR="00567DCB" w:rsidRPr="00567DCB">
        <w:t>held-to-maturity securities</w:t>
      </w:r>
      <w:r w:rsidR="00567DCB">
        <w:t>,</w:t>
      </w:r>
      <w:r w:rsidR="00567DCB" w:rsidRPr="00567DCB">
        <w:t xml:space="preserve"> </w:t>
      </w:r>
      <w:r w:rsidR="00567DCB">
        <w:t xml:space="preserve">other assets, </w:t>
      </w:r>
      <w:r w:rsidR="00FF7456">
        <w:t xml:space="preserve">and </w:t>
      </w:r>
      <w:r w:rsidR="00567DCB">
        <w:t>other</w:t>
      </w:r>
      <w:r w:rsidR="00D879CF">
        <w:t xml:space="preserve"> liabilities</w:t>
      </w:r>
      <w:r w:rsidR="00FF7456">
        <w:t xml:space="preserve">. </w:t>
      </w:r>
      <w:r w:rsidR="00567DCB" w:rsidRPr="00567DCB">
        <w:t>Because the fair value</w:t>
      </w:r>
      <w:r w:rsidR="008B078D">
        <w:t>s</w:t>
      </w:r>
      <w:r w:rsidR="00567DCB" w:rsidRPr="00567DCB">
        <w:t xml:space="preserve"> of non-term deposits are not disclosed in the financial statements, we estimate their fair value relying on the static discount cash flow approach for non-term deposits as described by the Office of Thrift Supervision (OTS) in the Department of Treasury and previously used by </w:t>
      </w:r>
      <w:proofErr w:type="spellStart"/>
      <w:r w:rsidR="00567DCB" w:rsidRPr="00567DCB">
        <w:t>Hodder</w:t>
      </w:r>
      <w:proofErr w:type="spellEnd"/>
      <w:r w:rsidR="00567DCB" w:rsidRPr="00567DCB">
        <w:t>, Hopkins, and Wahlen (2006).</w:t>
      </w:r>
      <w:r w:rsidR="00567DCB" w:rsidRPr="00567DCB">
        <w:rPr>
          <w:vertAlign w:val="superscript"/>
        </w:rPr>
        <w:footnoteReference w:id="15"/>
      </w:r>
      <w:r w:rsidR="00567DCB" w:rsidRPr="00567DCB">
        <w:t xml:space="preserve"> </w:t>
      </w:r>
      <w:r w:rsidR="00FF7456">
        <w:t>In addition, we adjust the deferred tax assets and liabilities for the tax implications of the unrealized gains and losses on the fair values using the statutory US Federal income tax rate</w:t>
      </w:r>
      <w:r w:rsidR="00646505">
        <w:t xml:space="preserve">. </w:t>
      </w:r>
      <w:r w:rsidR="00FF7456">
        <w:t xml:space="preserve"> </w:t>
      </w:r>
    </w:p>
    <w:p w:rsidR="001002FA" w:rsidRDefault="00F16C41" w:rsidP="00BB0516">
      <w:pPr>
        <w:pStyle w:val="msolistparagraph0"/>
        <w:spacing w:line="480" w:lineRule="auto"/>
        <w:ind w:left="0" w:firstLine="720"/>
      </w:pPr>
      <w:r>
        <w:t>Second</w:t>
      </w:r>
      <w:r w:rsidR="00FC6EED">
        <w:t xml:space="preserve">, </w:t>
      </w:r>
      <w:r w:rsidR="001002FA">
        <w:t>we calculate leverage based on asset and liabilit</w:t>
      </w:r>
      <w:r w:rsidR="008B078D">
        <w:t>y values</w:t>
      </w:r>
      <w:r w:rsidR="001002FA">
        <w:t xml:space="preserve"> as reported in the GAAP financial statements</w:t>
      </w:r>
      <w:r w:rsidR="00646505">
        <w:t xml:space="preserve">. </w:t>
      </w:r>
      <w:r w:rsidR="001002FA">
        <w:t>Under GAAP</w:t>
      </w:r>
      <w:r w:rsidR="00552B17">
        <w:t>,</w:t>
      </w:r>
      <w:r w:rsidR="001002FA">
        <w:t xml:space="preserve"> some financial instruments are reported at amortized cost and some at fair value, so this leverage </w:t>
      </w:r>
      <w:r w:rsidR="001E2447">
        <w:t>ratio</w:t>
      </w:r>
      <w:r w:rsidR="001002FA">
        <w:t xml:space="preserve">, which we denote as </w:t>
      </w:r>
      <w:r w:rsidR="001002FA" w:rsidRPr="002C2FCF">
        <w:rPr>
          <w:b/>
        </w:rPr>
        <w:t>GAAP</w:t>
      </w:r>
      <w:r w:rsidR="001002FA">
        <w:t>, represents a mixture of fair values and amortized costs</w:t>
      </w:r>
      <w:r w:rsidR="00646505">
        <w:t xml:space="preserve">. </w:t>
      </w:r>
    </w:p>
    <w:p w:rsidR="001D36DB" w:rsidRDefault="00F16C41">
      <w:pPr>
        <w:pStyle w:val="msolistparagraph0"/>
        <w:tabs>
          <w:tab w:val="left" w:pos="4860"/>
        </w:tabs>
        <w:spacing w:line="480" w:lineRule="auto"/>
        <w:ind w:left="0" w:firstLine="720"/>
        <w:rPr>
          <w:rFonts w:ascii="Calibri" w:hAnsi="Calibri" w:cs="Calibri"/>
          <w:color w:val="1F497D"/>
          <w:sz w:val="22"/>
          <w:szCs w:val="22"/>
        </w:rPr>
      </w:pPr>
      <w:r>
        <w:t>Third</w:t>
      </w:r>
      <w:r w:rsidR="001002FA">
        <w:t>, we calculate leverage consistent with</w:t>
      </w:r>
      <w:r w:rsidR="00495C87">
        <w:t xml:space="preserve"> bank</w:t>
      </w:r>
      <w:r w:rsidR="001002FA">
        <w:t xml:space="preserve"> regulators by using the inverse of the T</w:t>
      </w:r>
      <w:r w:rsidR="001002FA" w:rsidRPr="00741DBC">
        <w:t>ier</w:t>
      </w:r>
      <w:r w:rsidR="0043463B">
        <w:t xml:space="preserve"> </w:t>
      </w:r>
      <w:r w:rsidR="00951158">
        <w:t xml:space="preserve">1 leverage ratio, which we </w:t>
      </w:r>
      <w:r w:rsidR="001002FA">
        <w:t>denote</w:t>
      </w:r>
      <w:r w:rsidR="00951158">
        <w:t xml:space="preserve"> as</w:t>
      </w:r>
      <w:r w:rsidR="001002FA">
        <w:t xml:space="preserve"> </w:t>
      </w:r>
      <w:r w:rsidR="001002FA" w:rsidRPr="002C2FCF">
        <w:rPr>
          <w:b/>
        </w:rPr>
        <w:t>TIER1</w:t>
      </w:r>
      <w:r w:rsidR="00951158">
        <w:rPr>
          <w:b/>
        </w:rPr>
        <w:t>,</w:t>
      </w:r>
      <w:r w:rsidR="001002FA">
        <w:t xml:space="preserve"> </w:t>
      </w:r>
      <w:r w:rsidR="001002FA" w:rsidRPr="00741DBC">
        <w:t>from the Y9-C reports</w:t>
      </w:r>
      <w:r w:rsidR="00646505">
        <w:t xml:space="preserve">. </w:t>
      </w:r>
      <w:r w:rsidR="00E27727">
        <w:t xml:space="preserve">The Tier 1 leverage </w:t>
      </w:r>
      <w:r w:rsidR="00E27727">
        <w:lastRenderedPageBreak/>
        <w:t>ratio</w:t>
      </w:r>
      <w:r w:rsidR="00E27727">
        <w:rPr>
          <w:b/>
        </w:rPr>
        <w:t xml:space="preserve"> </w:t>
      </w:r>
      <w:r w:rsidR="008C62ED">
        <w:t xml:space="preserve">is Tier 1 </w:t>
      </w:r>
      <w:r w:rsidR="001002FA" w:rsidRPr="00741DBC">
        <w:t>capital divided by average adjusted total assets</w:t>
      </w:r>
      <w:r w:rsidR="00630F4D">
        <w:t xml:space="preserve"> and is identified in the Y9-C report as BHCK 7204 on Schedule HC-R</w:t>
      </w:r>
      <w:r w:rsidR="00D9676A">
        <w:t>—</w:t>
      </w:r>
      <w:r w:rsidR="00630F4D">
        <w:t>Regulatory Capital</w:t>
      </w:r>
      <w:r w:rsidR="001002FA">
        <w:t>. In defining Tier 1 capital, the goal of regulators was to create a measure of the</w:t>
      </w:r>
      <w:r w:rsidR="006E4765">
        <w:t xml:space="preserve"> capacity of the</w:t>
      </w:r>
      <w:r w:rsidR="001002FA">
        <w:t xml:space="preserve"> bank’s capital </w:t>
      </w:r>
      <w:r w:rsidR="008B078D">
        <w:t xml:space="preserve">to </w:t>
      </w:r>
      <w:r w:rsidR="001002FA">
        <w:t xml:space="preserve">absorb losses on an ongoing basis. Toward that end, Tier 1 capital is typically defined as shareholder’s equity with various adjustments made to it. For US bank holding companies, the main difference between </w:t>
      </w:r>
      <w:r w:rsidR="001002FA" w:rsidRPr="002C2FCF">
        <w:rPr>
          <w:b/>
        </w:rPr>
        <w:t>TIER1</w:t>
      </w:r>
      <w:r w:rsidR="001002FA">
        <w:t xml:space="preserve"> and </w:t>
      </w:r>
      <w:r w:rsidR="001002FA" w:rsidRPr="002C2FCF">
        <w:rPr>
          <w:b/>
        </w:rPr>
        <w:t>GAAP</w:t>
      </w:r>
      <w:r w:rsidR="001002FA">
        <w:t xml:space="preserve"> is the exclusion of </w:t>
      </w:r>
      <w:r w:rsidR="00912826">
        <w:t xml:space="preserve">certain </w:t>
      </w:r>
      <w:r w:rsidR="001002FA">
        <w:t xml:space="preserve">fair value adjustments from </w:t>
      </w:r>
      <w:r w:rsidR="001002FA" w:rsidRPr="002C2FCF">
        <w:rPr>
          <w:b/>
        </w:rPr>
        <w:t>TIER1</w:t>
      </w:r>
      <w:r w:rsidR="001002FA">
        <w:t>. Specifically,</w:t>
      </w:r>
      <w:r w:rsidR="001002FA" w:rsidRPr="00BB0516">
        <w:t xml:space="preserve"> </w:t>
      </w:r>
      <w:r w:rsidR="001002FA" w:rsidRPr="002C2FCF">
        <w:rPr>
          <w:b/>
        </w:rPr>
        <w:t>TIER1</w:t>
      </w:r>
      <w:r w:rsidR="00D9676A">
        <w:t xml:space="preserve"> excludes</w:t>
      </w:r>
      <w:r w:rsidR="001002FA" w:rsidRPr="00BB0516">
        <w:t xml:space="preserve"> unrealized gains and losses on available</w:t>
      </w:r>
      <w:r w:rsidR="00D879CF">
        <w:t>-</w:t>
      </w:r>
      <w:r w:rsidR="001002FA" w:rsidRPr="00BB0516">
        <w:t>for</w:t>
      </w:r>
      <w:r w:rsidR="00D879CF">
        <w:t>-</w:t>
      </w:r>
      <w:r w:rsidR="001002FA" w:rsidRPr="00BB0516">
        <w:t xml:space="preserve">sale </w:t>
      </w:r>
      <w:r w:rsidR="001002FA">
        <w:t xml:space="preserve">(AFS) </w:t>
      </w:r>
      <w:r w:rsidR="001002FA" w:rsidRPr="00BB0516">
        <w:t>securities and derivatives accounted for as cash flow hedges</w:t>
      </w:r>
      <w:r w:rsidR="00D85102">
        <w:t xml:space="preserve">, </w:t>
      </w:r>
      <w:r w:rsidR="001002FA">
        <w:t xml:space="preserve">except for unrealized losses on AFS </w:t>
      </w:r>
      <w:r w:rsidR="001002FA">
        <w:rPr>
          <w:i/>
          <w:iCs/>
        </w:rPr>
        <w:t>equity</w:t>
      </w:r>
      <w:r w:rsidR="00D85102">
        <w:t xml:space="preserve"> securities</w:t>
      </w:r>
      <w:r w:rsidR="001002FA">
        <w:t xml:space="preserve">, and </w:t>
      </w:r>
      <w:r w:rsidR="001002FA" w:rsidRPr="00BB0516">
        <w:t xml:space="preserve">for any financial liabilities </w:t>
      </w:r>
      <w:r w:rsidR="00951158">
        <w:t>recognized</w:t>
      </w:r>
      <w:r w:rsidR="001002FA" w:rsidRPr="00BB0516">
        <w:t xml:space="preserve"> at fair value by the bank, </w:t>
      </w:r>
      <w:r w:rsidR="001002FA" w:rsidRPr="002C2FCF">
        <w:rPr>
          <w:b/>
        </w:rPr>
        <w:t>TIER1</w:t>
      </w:r>
      <w:r w:rsidR="001002FA" w:rsidRPr="002C2FCF">
        <w:rPr>
          <w:i/>
        </w:rPr>
        <w:t xml:space="preserve"> </w:t>
      </w:r>
      <w:r w:rsidR="001002FA" w:rsidRPr="00BB0516">
        <w:t xml:space="preserve">excludes the portion of the cumulative change in fair value that is due to changes in the bank’s creditworthiness. </w:t>
      </w:r>
      <w:r w:rsidR="00171090" w:rsidRPr="00AB31E5">
        <w:rPr>
          <w:b/>
        </w:rPr>
        <w:t>TIER1</w:t>
      </w:r>
      <w:r w:rsidR="00171090">
        <w:t xml:space="preserve"> also excludes </w:t>
      </w:r>
      <w:r w:rsidR="001002FA">
        <w:t>most goodwill and intangible assets, and</w:t>
      </w:r>
      <w:r w:rsidR="00171090">
        <w:t xml:space="preserve"> it includes the following items on the basis of various factors specific to each item:</w:t>
      </w:r>
      <w:r w:rsidR="001002FA">
        <w:t xml:space="preserve"> </w:t>
      </w:r>
      <w:r w:rsidR="001002FA" w:rsidRPr="00BB0516">
        <w:t>cumulative preferred stock, mortgage servicing assets, deferred tax assets, credit-enhancing interest-only strip receivables, and nonfinancial equity investments</w:t>
      </w:r>
      <w:r w:rsidR="00646505">
        <w:t xml:space="preserve">. </w:t>
      </w:r>
    </w:p>
    <w:p w:rsidR="00811BA8" w:rsidRDefault="00811BA8">
      <w:pPr>
        <w:pStyle w:val="msolistparagraph0"/>
        <w:tabs>
          <w:tab w:val="left" w:pos="4860"/>
        </w:tabs>
        <w:spacing w:line="480" w:lineRule="auto"/>
        <w:ind w:left="0" w:firstLine="720"/>
        <w:rPr>
          <w:color w:val="000000"/>
        </w:rPr>
      </w:pPr>
      <w:r>
        <w:rPr>
          <w:color w:val="000000"/>
        </w:rPr>
        <w:t xml:space="preserve">Figure 2 provides a comparison of the measurement attributes for each category of financial instruments across our </w:t>
      </w:r>
      <w:r w:rsidR="00593E21">
        <w:rPr>
          <w:color w:val="000000"/>
        </w:rPr>
        <w:t>three</w:t>
      </w:r>
      <w:r>
        <w:rPr>
          <w:color w:val="000000"/>
        </w:rPr>
        <w:t xml:space="preserve"> different leverage </w:t>
      </w:r>
      <w:r w:rsidR="00542ADE">
        <w:rPr>
          <w:color w:val="000000"/>
        </w:rPr>
        <w:t>ratios</w:t>
      </w:r>
      <w:r w:rsidR="00646505">
        <w:rPr>
          <w:color w:val="000000"/>
        </w:rPr>
        <w:t xml:space="preserve">. </w:t>
      </w:r>
      <w:r>
        <w:rPr>
          <w:color w:val="000000"/>
        </w:rPr>
        <w:t xml:space="preserve">The </w:t>
      </w:r>
      <w:r w:rsidR="0013268C">
        <w:rPr>
          <w:color w:val="000000"/>
        </w:rPr>
        <w:t xml:space="preserve">most </w:t>
      </w:r>
      <w:r>
        <w:rPr>
          <w:color w:val="000000"/>
        </w:rPr>
        <w:t xml:space="preserve">notable differences across the ratios </w:t>
      </w:r>
      <w:r w:rsidR="00353B70">
        <w:rPr>
          <w:color w:val="000000"/>
        </w:rPr>
        <w:t>are</w:t>
      </w:r>
      <w:r w:rsidR="00593E21">
        <w:rPr>
          <w:color w:val="000000"/>
        </w:rPr>
        <w:t xml:space="preserve"> that</w:t>
      </w:r>
      <w:r>
        <w:rPr>
          <w:color w:val="000000"/>
        </w:rPr>
        <w:t xml:space="preserve"> </w:t>
      </w:r>
      <w:r w:rsidRPr="0013268C">
        <w:rPr>
          <w:b/>
          <w:color w:val="000000"/>
        </w:rPr>
        <w:t xml:space="preserve">FV </w:t>
      </w:r>
      <w:r w:rsidR="0013268C">
        <w:rPr>
          <w:color w:val="000000"/>
        </w:rPr>
        <w:t>include</w:t>
      </w:r>
      <w:r w:rsidR="00593E21">
        <w:rPr>
          <w:color w:val="000000"/>
        </w:rPr>
        <w:t>s</w:t>
      </w:r>
      <w:r w:rsidR="0013268C">
        <w:rPr>
          <w:color w:val="000000"/>
        </w:rPr>
        <w:t xml:space="preserve"> the fair value of held</w:t>
      </w:r>
      <w:r w:rsidR="009C2860">
        <w:rPr>
          <w:color w:val="000000"/>
        </w:rPr>
        <w:t>-</w:t>
      </w:r>
      <w:r w:rsidR="002908D2">
        <w:rPr>
          <w:color w:val="000000"/>
        </w:rPr>
        <w:t>to</w:t>
      </w:r>
      <w:r w:rsidR="009C2860">
        <w:rPr>
          <w:color w:val="000000"/>
        </w:rPr>
        <w:t>-</w:t>
      </w:r>
      <w:r w:rsidR="002908D2">
        <w:rPr>
          <w:color w:val="000000"/>
        </w:rPr>
        <w:t>maturity</w:t>
      </w:r>
      <w:r>
        <w:rPr>
          <w:color w:val="000000"/>
        </w:rPr>
        <w:t xml:space="preserve"> securities</w:t>
      </w:r>
      <w:r w:rsidR="0013268C">
        <w:rPr>
          <w:color w:val="000000"/>
        </w:rPr>
        <w:t xml:space="preserve">, loans, deposits, and debt, while </w:t>
      </w:r>
      <w:r w:rsidR="0013268C" w:rsidRPr="0013268C">
        <w:rPr>
          <w:b/>
          <w:color w:val="000000"/>
        </w:rPr>
        <w:t>GAAP</w:t>
      </w:r>
      <w:r w:rsidR="0013268C">
        <w:rPr>
          <w:color w:val="000000"/>
        </w:rPr>
        <w:t xml:space="preserve"> and </w:t>
      </w:r>
      <w:r w:rsidR="0013268C" w:rsidRPr="0013268C">
        <w:rPr>
          <w:b/>
          <w:color w:val="000000"/>
        </w:rPr>
        <w:t>TIER1</w:t>
      </w:r>
      <w:r w:rsidR="0013268C">
        <w:rPr>
          <w:b/>
          <w:color w:val="000000"/>
        </w:rPr>
        <w:t xml:space="preserve"> </w:t>
      </w:r>
      <w:r w:rsidR="0013268C" w:rsidRPr="0013268C">
        <w:rPr>
          <w:color w:val="000000"/>
        </w:rPr>
        <w:t>do not</w:t>
      </w:r>
      <w:r w:rsidR="00646505">
        <w:rPr>
          <w:color w:val="000000"/>
        </w:rPr>
        <w:t xml:space="preserve">. </w:t>
      </w:r>
    </w:p>
    <w:p w:rsidR="00A20173" w:rsidRDefault="00784ED4" w:rsidP="00AB31E5">
      <w:pPr>
        <w:pStyle w:val="msolistparagraph0"/>
        <w:tabs>
          <w:tab w:val="left" w:pos="4860"/>
        </w:tabs>
        <w:spacing w:line="480" w:lineRule="auto"/>
        <w:ind w:left="0" w:firstLine="720"/>
        <w:jc w:val="center"/>
        <w:rPr>
          <w:rFonts w:ascii="Calibri" w:hAnsi="Calibri" w:cs="Calibri"/>
          <w:color w:val="1F497D"/>
          <w:sz w:val="22"/>
          <w:szCs w:val="22"/>
        </w:rPr>
      </w:pPr>
      <w:r>
        <w:rPr>
          <w:color w:val="000000"/>
        </w:rPr>
        <w:t>[INSERT FIGURE 2 ABOUT HERE]</w:t>
      </w:r>
    </w:p>
    <w:p w:rsidR="001002FA" w:rsidRDefault="00C56FC5" w:rsidP="00A307F9">
      <w:pPr>
        <w:spacing w:line="480" w:lineRule="auto"/>
        <w:ind w:firstLine="720"/>
        <w:jc w:val="center"/>
        <w:rPr>
          <w:b/>
          <w:bCs/>
        </w:rPr>
      </w:pPr>
      <w:r>
        <w:rPr>
          <w:b/>
          <w:bCs/>
        </w:rPr>
        <w:t>I</w:t>
      </w:r>
      <w:r w:rsidR="001002FA" w:rsidRPr="006375F8">
        <w:rPr>
          <w:b/>
          <w:bCs/>
        </w:rPr>
        <w:t xml:space="preserve">V. </w:t>
      </w:r>
      <w:r>
        <w:rPr>
          <w:b/>
          <w:bCs/>
        </w:rPr>
        <w:t>CREDIT RISK MEASURES</w:t>
      </w:r>
      <w:r w:rsidR="001002FA">
        <w:rPr>
          <w:b/>
          <w:bCs/>
        </w:rPr>
        <w:t xml:space="preserve"> AND LEVERAGE</w:t>
      </w:r>
    </w:p>
    <w:p w:rsidR="002753AF" w:rsidRPr="002753AF" w:rsidRDefault="002753AF" w:rsidP="002753AF">
      <w:pPr>
        <w:spacing w:line="480" w:lineRule="auto"/>
        <w:rPr>
          <w:b/>
        </w:rPr>
      </w:pPr>
      <w:r w:rsidRPr="002753AF">
        <w:rPr>
          <w:b/>
        </w:rPr>
        <w:t>Bond Yield Spreads</w:t>
      </w:r>
      <w:r>
        <w:rPr>
          <w:b/>
        </w:rPr>
        <w:t xml:space="preserve"> and L</w:t>
      </w:r>
      <w:r w:rsidRPr="002753AF">
        <w:rPr>
          <w:b/>
        </w:rPr>
        <w:t>everage</w:t>
      </w:r>
    </w:p>
    <w:p w:rsidR="001002FA" w:rsidRDefault="00F34D69" w:rsidP="00A307F9">
      <w:pPr>
        <w:spacing w:line="480" w:lineRule="auto"/>
        <w:ind w:firstLine="720"/>
      </w:pPr>
      <w:r>
        <w:t>O</w:t>
      </w:r>
      <w:r w:rsidR="001002FA" w:rsidRPr="00BA1FDD">
        <w:t>ur</w:t>
      </w:r>
      <w:r w:rsidR="001002FA">
        <w:t xml:space="preserve"> </w:t>
      </w:r>
      <w:r w:rsidR="002753AF">
        <w:t>first</w:t>
      </w:r>
      <w:r>
        <w:t xml:space="preserve"> set of tests </w:t>
      </w:r>
      <w:r w:rsidR="006938EC">
        <w:t>examine</w:t>
      </w:r>
      <w:r>
        <w:t>s</w:t>
      </w:r>
      <w:r w:rsidR="002753AF">
        <w:t xml:space="preserve"> the association between </w:t>
      </w:r>
      <w:r w:rsidR="006938EC">
        <w:t xml:space="preserve">bond yield spreads as a measure of credit risk </w:t>
      </w:r>
      <w:r w:rsidR="002753AF">
        <w:t>and our various leverage ratios</w:t>
      </w:r>
      <w:r w:rsidR="00646505">
        <w:t xml:space="preserve">. </w:t>
      </w:r>
      <w:r w:rsidR="002753AF">
        <w:t>Specifically, w</w:t>
      </w:r>
      <w:r w:rsidR="006938EC">
        <w:t xml:space="preserve">e </w:t>
      </w:r>
      <w:r w:rsidR="001002FA">
        <w:t xml:space="preserve">consider the extent to which </w:t>
      </w:r>
      <w:r w:rsidR="002753AF" w:rsidRPr="002753AF">
        <w:rPr>
          <w:b/>
        </w:rPr>
        <w:t>FV</w:t>
      </w:r>
      <w:r w:rsidR="002753AF">
        <w:t xml:space="preserve">, </w:t>
      </w:r>
      <w:r w:rsidR="002753AF" w:rsidRPr="002753AF">
        <w:rPr>
          <w:b/>
        </w:rPr>
        <w:lastRenderedPageBreak/>
        <w:t>GAAP</w:t>
      </w:r>
      <w:r w:rsidR="002753AF">
        <w:t xml:space="preserve">, and </w:t>
      </w:r>
      <w:r w:rsidR="002753AF" w:rsidRPr="002753AF">
        <w:rPr>
          <w:b/>
        </w:rPr>
        <w:t>TIER1</w:t>
      </w:r>
      <w:r w:rsidR="00B253DD">
        <w:t xml:space="preserve"> </w:t>
      </w:r>
      <w:r w:rsidR="001002FA">
        <w:t>are associated with bank-specific bond yield spreads measured at the time a bond is issued and at the time of secondary trades</w:t>
      </w:r>
      <w:r w:rsidR="00646505">
        <w:t xml:space="preserve">. </w:t>
      </w:r>
      <w:r w:rsidR="001002FA">
        <w:t xml:space="preserve">We </w:t>
      </w:r>
      <w:r w:rsidR="002753AF">
        <w:t>consider</w:t>
      </w:r>
      <w:r w:rsidR="001002FA">
        <w:t xml:space="preserve"> bond yield spreads because they measure the risk premium or the default risk of the bond (F</w:t>
      </w:r>
      <w:r>
        <w:t>isher 1959) and therefore</w:t>
      </w:r>
      <w:r w:rsidR="001002FA">
        <w:t xml:space="preserve"> proxy for the credit risk of the individual bank.</w:t>
      </w:r>
      <w:r w:rsidR="00442123">
        <w:rPr>
          <w:rStyle w:val="FootnoteReference"/>
        </w:rPr>
        <w:footnoteReference w:id="16"/>
      </w:r>
      <w:r w:rsidR="001002FA">
        <w:t xml:space="preserve">  Using the bond data in the </w:t>
      </w:r>
      <w:proofErr w:type="spellStart"/>
      <w:r w:rsidR="001002FA">
        <w:t>Mergent</w:t>
      </w:r>
      <w:proofErr w:type="spellEnd"/>
      <w:r w:rsidR="001002FA">
        <w:t xml:space="preserve"> Fixed Investment Securities Database (FISD), we identify publicly</w:t>
      </w:r>
      <w:r w:rsidR="005914DB">
        <w:t xml:space="preserve"> </w:t>
      </w:r>
      <w:r w:rsidR="001002FA">
        <w:t xml:space="preserve">traded bonds issued by our sample banks from </w:t>
      </w:r>
      <w:r w:rsidR="00044A92">
        <w:t xml:space="preserve">1995 </w:t>
      </w:r>
      <w:r w:rsidR="001002FA">
        <w:t xml:space="preserve">through </w:t>
      </w:r>
      <w:r w:rsidR="008C6203">
        <w:t xml:space="preserve">2010 </w:t>
      </w:r>
      <w:r w:rsidR="001002FA">
        <w:t>and obtain bond characteristics, including bond yields at the date of issuance</w:t>
      </w:r>
      <w:r w:rsidR="00646505">
        <w:t xml:space="preserve">. </w:t>
      </w:r>
      <w:r w:rsidR="001002FA">
        <w:t>We then obtain bond yields after issuance for these same bonds from the Trade Reporting and Compliance Engine (TRACE), which compiles information on secondary trades for fixed</w:t>
      </w:r>
      <w:r w:rsidR="00AF5AAF">
        <w:t>-</w:t>
      </w:r>
      <w:r w:rsidR="001002FA">
        <w:t>income securities starting in July 2002</w:t>
      </w:r>
      <w:r w:rsidR="00646505">
        <w:t xml:space="preserve">. </w:t>
      </w:r>
      <w:r w:rsidR="001002FA">
        <w:t>If trades in the same bond occur on the same day, we include only the last observation for that day in our sample</w:t>
      </w:r>
      <w:r w:rsidR="00646505">
        <w:t xml:space="preserve">. </w:t>
      </w:r>
      <w:r w:rsidR="001002FA">
        <w:t xml:space="preserve">In addition, we only include observations on bonds that have all the necessary data to estimate the variables used in our yield spread model </w:t>
      </w:r>
      <w:r>
        <w:t>as described below.</w:t>
      </w:r>
      <w:r w:rsidR="001002FA">
        <w:t xml:space="preserve"> </w:t>
      </w:r>
      <w:r w:rsidR="009649BD">
        <w:t xml:space="preserve">Given that all banks have calendar fiscal </w:t>
      </w:r>
      <w:r w:rsidR="008B078D">
        <w:t>year-end</w:t>
      </w:r>
      <w:r w:rsidR="009649BD">
        <w:t>s, we include only</w:t>
      </w:r>
      <w:r w:rsidR="001002FA">
        <w:t xml:space="preserve"> observations in the first quarter</w:t>
      </w:r>
      <w:r w:rsidR="009649BD">
        <w:t xml:space="preserve"> of the calendar year </w:t>
      </w:r>
      <w:r w:rsidR="001002FA">
        <w:t xml:space="preserve">because we want our leverage </w:t>
      </w:r>
      <w:r w:rsidR="001E2447">
        <w:t>ratios</w:t>
      </w:r>
      <w:r w:rsidR="001002FA">
        <w:t>, which are calculated as of December 31, and bond yield measures to be relatively contemporaneous.</w:t>
      </w:r>
      <w:r w:rsidR="001002FA">
        <w:rPr>
          <w:rStyle w:val="FootnoteReference"/>
        </w:rPr>
        <w:footnoteReference w:id="17"/>
      </w:r>
      <w:r w:rsidR="001002FA">
        <w:t xml:space="preserve">    </w:t>
      </w:r>
    </w:p>
    <w:p w:rsidR="002D5CAB" w:rsidRDefault="002D5CAB" w:rsidP="002D5CAB">
      <w:pPr>
        <w:spacing w:line="480" w:lineRule="auto"/>
        <w:ind w:firstLine="720"/>
        <w:rPr>
          <w:color w:val="1F497D"/>
        </w:rPr>
      </w:pPr>
      <w:r>
        <w:t xml:space="preserve">Our final sample includes </w:t>
      </w:r>
      <w:r w:rsidR="00A767AF">
        <w:t xml:space="preserve">80,393 </w:t>
      </w:r>
      <w:r>
        <w:t xml:space="preserve">yield observations on </w:t>
      </w:r>
      <w:r w:rsidR="0041456E">
        <w:t>46</w:t>
      </w:r>
      <w:r>
        <w:t xml:space="preserve"> bank holding companies for </w:t>
      </w:r>
      <w:r w:rsidR="00455D6C">
        <w:t>1,</w:t>
      </w:r>
      <w:r w:rsidR="00A767AF">
        <w:t xml:space="preserve">861 </w:t>
      </w:r>
      <w:r>
        <w:t>bonds</w:t>
      </w:r>
      <w:r w:rsidR="00646505">
        <w:t xml:space="preserve">. </w:t>
      </w:r>
      <w:r>
        <w:t>The yield observations at the time of issuance cover bonds issued from 199</w:t>
      </w:r>
      <w:r w:rsidR="0041456E">
        <w:t>8</w:t>
      </w:r>
      <w:r>
        <w:t xml:space="preserve"> through 20</w:t>
      </w:r>
      <w:r w:rsidR="0041456E">
        <w:t>10</w:t>
      </w:r>
      <w:r w:rsidR="003122B1">
        <w:t>,</w:t>
      </w:r>
      <w:r>
        <w:t xml:space="preserve"> and the yield observations at the time of secondary trades include bonds issued from 199</w:t>
      </w:r>
      <w:r w:rsidR="0041456E">
        <w:t>8</w:t>
      </w:r>
      <w:r>
        <w:t xml:space="preserve"> through 20</w:t>
      </w:r>
      <w:r w:rsidR="0041456E">
        <w:t>10</w:t>
      </w:r>
      <w:r>
        <w:t xml:space="preserve"> but traded from July 1, 2002</w:t>
      </w:r>
      <w:r w:rsidR="003122B1">
        <w:t>,</w:t>
      </w:r>
      <w:r>
        <w:t xml:space="preserve"> through 20</w:t>
      </w:r>
      <w:r w:rsidR="00F438A9">
        <w:t>10</w:t>
      </w:r>
      <w:r w:rsidR="00646505">
        <w:t xml:space="preserve">. </w:t>
      </w:r>
      <w:r>
        <w:t xml:space="preserve"> Because secondary trade observations </w:t>
      </w:r>
      <w:r w:rsidR="005E5934">
        <w:t>are not</w:t>
      </w:r>
      <w:r>
        <w:t xml:space="preserve"> available until July 1, 2002</w:t>
      </w:r>
      <w:r w:rsidR="003122B1">
        <w:t>,</w:t>
      </w:r>
      <w:r>
        <w:t xml:space="preserve"> </w:t>
      </w:r>
      <w:r w:rsidR="005119D2">
        <w:t xml:space="preserve">when TRACE started collecting the information, </w:t>
      </w:r>
      <w:r>
        <w:t xml:space="preserve">and TRACE has increased its coverage over time, the observations in our sample are heavily </w:t>
      </w:r>
      <w:r>
        <w:lastRenderedPageBreak/>
        <w:t>weighted to the later years</w:t>
      </w:r>
      <w:r w:rsidR="00646505">
        <w:t xml:space="preserve">. </w:t>
      </w:r>
      <w:r w:rsidRPr="006722E9">
        <w:t>Specifically, 0.</w:t>
      </w:r>
      <w:r w:rsidR="006722E9" w:rsidRPr="006722E9">
        <w:t>14</w:t>
      </w:r>
      <w:r w:rsidR="007924A6">
        <w:t xml:space="preserve"> percent</w:t>
      </w:r>
      <w:r w:rsidRPr="006722E9">
        <w:t xml:space="preserve"> of the sample is from 199</w:t>
      </w:r>
      <w:r w:rsidR="002A393E" w:rsidRPr="006722E9">
        <w:t>8</w:t>
      </w:r>
      <w:r w:rsidRPr="006722E9">
        <w:t xml:space="preserve"> through 2002 (these are all bond issuance observations), </w:t>
      </w:r>
      <w:r w:rsidR="006722E9" w:rsidRPr="006722E9">
        <w:t>3.3</w:t>
      </w:r>
      <w:r w:rsidR="007924A6">
        <w:t xml:space="preserve"> percent</w:t>
      </w:r>
      <w:r w:rsidRPr="006722E9">
        <w:t xml:space="preserve"> is from 2003, </w:t>
      </w:r>
      <w:r w:rsidR="006722E9" w:rsidRPr="006722E9">
        <w:t>4.</w:t>
      </w:r>
      <w:r w:rsidR="00A41B99">
        <w:t>36</w:t>
      </w:r>
      <w:r w:rsidR="007924A6">
        <w:t xml:space="preserve"> percent</w:t>
      </w:r>
      <w:r w:rsidRPr="006722E9">
        <w:t xml:space="preserve"> is from 2004, and the remaining </w:t>
      </w:r>
      <w:r w:rsidR="006722E9" w:rsidRPr="006722E9">
        <w:t>92.</w:t>
      </w:r>
      <w:r w:rsidR="00A41B99">
        <w:t>2</w:t>
      </w:r>
      <w:r w:rsidR="007924A6">
        <w:t xml:space="preserve"> percent</w:t>
      </w:r>
      <w:r w:rsidRPr="006722E9">
        <w:t xml:space="preserve"> is from 2005 through 20</w:t>
      </w:r>
      <w:r w:rsidR="002A393E" w:rsidRPr="006722E9">
        <w:t>10</w:t>
      </w:r>
      <w:r w:rsidRPr="006722E9">
        <w:t>.</w:t>
      </w:r>
      <w:r w:rsidR="006722E9" w:rsidRPr="006722E9">
        <w:rPr>
          <w:color w:val="1F497D"/>
        </w:rPr>
        <w:t xml:space="preserve"> </w:t>
      </w:r>
    </w:p>
    <w:p w:rsidR="00A20173" w:rsidRPr="00951ACF" w:rsidRDefault="00784ED4" w:rsidP="00AB31E5">
      <w:pPr>
        <w:spacing w:line="480" w:lineRule="auto"/>
        <w:ind w:firstLine="720"/>
        <w:jc w:val="center"/>
      </w:pPr>
      <w:r w:rsidRPr="00951ACF">
        <w:t>[INSERT TABLE 1 ABOUT HERE]</w:t>
      </w:r>
    </w:p>
    <w:p w:rsidR="000576E3" w:rsidRDefault="001002FA" w:rsidP="000576E3">
      <w:pPr>
        <w:spacing w:line="480" w:lineRule="auto"/>
        <w:ind w:firstLine="720"/>
        <w:rPr>
          <w:color w:val="000000"/>
        </w:rPr>
      </w:pPr>
      <w:r>
        <w:t xml:space="preserve"> Table </w:t>
      </w:r>
      <w:r w:rsidR="00124C1B">
        <w:t>1</w:t>
      </w:r>
      <w:r>
        <w:t xml:space="preserve"> reports descriptive statistics on the </w:t>
      </w:r>
      <w:r w:rsidR="00D138E0">
        <w:t xml:space="preserve">bond yield </w:t>
      </w:r>
      <w:r>
        <w:t>observations</w:t>
      </w:r>
      <w:r w:rsidR="00A41B99">
        <w:t xml:space="preserve">, where all variables are </w:t>
      </w:r>
      <w:proofErr w:type="spellStart"/>
      <w:r w:rsidR="00A41B99">
        <w:t>winsorized</w:t>
      </w:r>
      <w:proofErr w:type="spellEnd"/>
      <w:r w:rsidR="00A41B99">
        <w:t xml:space="preserve"> at 1</w:t>
      </w:r>
      <w:r w:rsidR="007924A6">
        <w:t xml:space="preserve"> percent</w:t>
      </w:r>
      <w:r w:rsidR="00A41B99">
        <w:t xml:space="preserve"> and 99</w:t>
      </w:r>
      <w:r w:rsidR="007924A6">
        <w:t xml:space="preserve"> percent</w:t>
      </w:r>
      <w:r w:rsidR="00F53EE7">
        <w:t>.</w:t>
      </w:r>
      <w:r>
        <w:t xml:space="preserve"> The average bond offering is $</w:t>
      </w:r>
      <w:r w:rsidR="00EB7EEE">
        <w:t>199.</w:t>
      </w:r>
      <w:r w:rsidR="00A41B99">
        <w:t xml:space="preserve">9 </w:t>
      </w:r>
      <w:r>
        <w:t xml:space="preserve">million and has </w:t>
      </w:r>
      <w:r w:rsidR="00EB7EEE">
        <w:t>11.0</w:t>
      </w:r>
      <w:r>
        <w:t xml:space="preserve"> years remaining until maturity</w:t>
      </w:r>
      <w:r w:rsidR="00646505">
        <w:t xml:space="preserve">. </w:t>
      </w:r>
      <w:r w:rsidR="00BB6B88">
        <w:t>Interesting</w:t>
      </w:r>
      <w:r w:rsidR="0043463B">
        <w:t>ly</w:t>
      </w:r>
      <w:r w:rsidR="00BB6B88">
        <w:t xml:space="preserve">, </w:t>
      </w:r>
      <w:r w:rsidR="004A4B8D" w:rsidRPr="00004AA9">
        <w:rPr>
          <w:b/>
        </w:rPr>
        <w:t>GAAP</w:t>
      </w:r>
      <w:r w:rsidR="004A4B8D">
        <w:t xml:space="preserve"> has</w:t>
      </w:r>
      <w:r w:rsidR="00BB6B88">
        <w:t xml:space="preserve"> the highest mean</w:t>
      </w:r>
      <w:r w:rsidR="00675E15">
        <w:t xml:space="preserve">, which is statistically greater than the means of </w:t>
      </w:r>
      <w:r w:rsidR="00675E15" w:rsidRPr="00AD2E1D">
        <w:rPr>
          <w:b/>
        </w:rPr>
        <w:t>TIER1</w:t>
      </w:r>
      <w:r w:rsidR="00675E15">
        <w:rPr>
          <w:b/>
        </w:rPr>
        <w:t xml:space="preserve"> </w:t>
      </w:r>
      <w:r w:rsidR="00675E15" w:rsidRPr="00AD2E1D">
        <w:t>and</w:t>
      </w:r>
      <w:r w:rsidR="00675E15">
        <w:rPr>
          <w:b/>
        </w:rPr>
        <w:t xml:space="preserve"> </w:t>
      </w:r>
      <w:r w:rsidR="00675E15" w:rsidRPr="00004AA9">
        <w:rPr>
          <w:b/>
        </w:rPr>
        <w:t>FV</w:t>
      </w:r>
      <w:r w:rsidR="008B078D">
        <w:rPr>
          <w:b/>
        </w:rPr>
        <w:t xml:space="preserve"> </w:t>
      </w:r>
      <w:r w:rsidR="0081498C" w:rsidRPr="007C63C4">
        <w:t xml:space="preserve">at </w:t>
      </w:r>
      <w:r w:rsidR="0081498C" w:rsidRPr="007C63C4">
        <w:rPr>
          <w:i/>
        </w:rPr>
        <w:t>p</w:t>
      </w:r>
      <w:r w:rsidR="0081498C" w:rsidRPr="007C63C4">
        <w:t xml:space="preserve"> &lt; </w:t>
      </w:r>
      <w:r w:rsidR="00471B96">
        <w:t>0</w:t>
      </w:r>
      <w:r w:rsidR="00107DC6">
        <w:t>.01</w:t>
      </w:r>
      <w:r w:rsidR="00675E15">
        <w:rPr>
          <w:b/>
        </w:rPr>
        <w:t>.</w:t>
      </w:r>
      <w:r w:rsidR="00BB6B88">
        <w:t xml:space="preserve"> </w:t>
      </w:r>
      <w:r w:rsidR="00951158" w:rsidRPr="00AD2E1D">
        <w:rPr>
          <w:b/>
        </w:rPr>
        <w:t>TIER1</w:t>
      </w:r>
      <w:r w:rsidR="00BB6B88">
        <w:rPr>
          <w:b/>
        </w:rPr>
        <w:t xml:space="preserve"> </w:t>
      </w:r>
      <w:r w:rsidR="00BB6B88" w:rsidRPr="00AD2E1D">
        <w:t>and</w:t>
      </w:r>
      <w:r w:rsidR="00BB6B88">
        <w:rPr>
          <w:b/>
        </w:rPr>
        <w:t xml:space="preserve"> </w:t>
      </w:r>
      <w:r w:rsidR="00951158" w:rsidRPr="00004AA9">
        <w:rPr>
          <w:b/>
        </w:rPr>
        <w:t>FV</w:t>
      </w:r>
      <w:r w:rsidR="00951158">
        <w:t xml:space="preserve"> </w:t>
      </w:r>
      <w:r w:rsidR="00BB6B88">
        <w:t xml:space="preserve">have </w:t>
      </w:r>
      <w:r w:rsidR="00AD2E1D">
        <w:t>mean</w:t>
      </w:r>
      <w:r w:rsidR="00BB6B88">
        <w:t>s</w:t>
      </w:r>
      <w:r w:rsidR="00AD2E1D">
        <w:t xml:space="preserve"> </w:t>
      </w:r>
      <w:r w:rsidR="00711B1D">
        <w:t>that are statistically equivalent</w:t>
      </w:r>
      <w:r w:rsidR="008B078D">
        <w:t>, which indicates that for the average bank in this sample</w:t>
      </w:r>
      <w:r w:rsidR="00107DC6">
        <w:t>,</w:t>
      </w:r>
      <w:r w:rsidR="008B078D">
        <w:t xml:space="preserve"> </w:t>
      </w:r>
      <w:r w:rsidR="008B078D">
        <w:rPr>
          <w:b/>
        </w:rPr>
        <w:t>GAAP</w:t>
      </w:r>
      <w:r w:rsidR="008B078D">
        <w:t xml:space="preserve"> and not </w:t>
      </w:r>
      <w:r w:rsidR="008B078D">
        <w:rPr>
          <w:b/>
        </w:rPr>
        <w:t xml:space="preserve">FV </w:t>
      </w:r>
      <w:r w:rsidR="008B078D">
        <w:t xml:space="preserve">or </w:t>
      </w:r>
      <w:r w:rsidR="008B078D">
        <w:rPr>
          <w:b/>
        </w:rPr>
        <w:t xml:space="preserve">TIER1 </w:t>
      </w:r>
      <w:r w:rsidR="008B078D">
        <w:t>measures of leverage make the bank appear riskiest</w:t>
      </w:r>
      <w:r w:rsidR="00646505">
        <w:t xml:space="preserve">. </w:t>
      </w:r>
      <w:r w:rsidR="005D5146">
        <w:t xml:space="preserve">We also find that for the average firm, </w:t>
      </w:r>
      <w:r w:rsidR="00AD2E1D" w:rsidRPr="00AD2E1D">
        <w:rPr>
          <w:b/>
        </w:rPr>
        <w:t>TIER1</w:t>
      </w:r>
      <w:r w:rsidR="00AD2E1D">
        <w:t xml:space="preserve"> has a</w:t>
      </w:r>
      <w:r w:rsidR="00BC7D74">
        <w:t>n untabulated</w:t>
      </w:r>
      <w:r w:rsidR="00AD2E1D">
        <w:t xml:space="preserve"> </w:t>
      </w:r>
      <w:r w:rsidR="005D5146">
        <w:t xml:space="preserve">time-series </w:t>
      </w:r>
      <w:r w:rsidR="00004AA9">
        <w:t>standard deviation</w:t>
      </w:r>
      <w:r w:rsidR="00BC7D74">
        <w:t xml:space="preserve"> of 1.5, which </w:t>
      </w:r>
      <w:r w:rsidR="00AD2E1D">
        <w:t>is</w:t>
      </w:r>
      <w:r w:rsidR="00004AA9">
        <w:t xml:space="preserve"> at least 40</w:t>
      </w:r>
      <w:r w:rsidR="007924A6">
        <w:t xml:space="preserve"> percent</w:t>
      </w:r>
      <w:r w:rsidR="00004AA9">
        <w:t xml:space="preserve"> smaller than the </w:t>
      </w:r>
      <w:r w:rsidR="00BC7D74">
        <w:t xml:space="preserve">untabulated </w:t>
      </w:r>
      <w:r w:rsidR="005D5146">
        <w:t xml:space="preserve">time-series </w:t>
      </w:r>
      <w:r w:rsidR="00004AA9">
        <w:t>standard deviation</w:t>
      </w:r>
      <w:r w:rsidR="005D5146">
        <w:t>s</w:t>
      </w:r>
      <w:r w:rsidR="00004AA9">
        <w:t xml:space="preserve"> </w:t>
      </w:r>
      <w:r w:rsidR="009D58EF">
        <w:t xml:space="preserve">for </w:t>
      </w:r>
      <w:r w:rsidR="00004AA9" w:rsidRPr="00004AA9">
        <w:rPr>
          <w:b/>
        </w:rPr>
        <w:t>GAAP</w:t>
      </w:r>
      <w:r w:rsidR="00004AA9">
        <w:t xml:space="preserve"> </w:t>
      </w:r>
      <w:r w:rsidR="00BC7D74">
        <w:t xml:space="preserve">(2.5) </w:t>
      </w:r>
      <w:r w:rsidR="00004AA9">
        <w:t xml:space="preserve">and </w:t>
      </w:r>
      <w:r w:rsidR="00004AA9" w:rsidRPr="00004AA9">
        <w:rPr>
          <w:b/>
        </w:rPr>
        <w:t>FV</w:t>
      </w:r>
      <w:r w:rsidR="00BC7D74">
        <w:t xml:space="preserve"> (3.1)</w:t>
      </w:r>
      <w:r w:rsidR="00711B1D">
        <w:t>, with the difference</w:t>
      </w:r>
      <w:r w:rsidR="00BC7D74">
        <w:t>s</w:t>
      </w:r>
      <w:r w:rsidR="00711B1D">
        <w:t xml:space="preserve"> </w:t>
      </w:r>
      <w:r w:rsidR="00C25B5B">
        <w:t xml:space="preserve">between the </w:t>
      </w:r>
      <w:r w:rsidR="00C25B5B" w:rsidRPr="007C63C4">
        <w:rPr>
          <w:b/>
        </w:rPr>
        <w:t>TIER1</w:t>
      </w:r>
      <w:r w:rsidR="00C25B5B">
        <w:t xml:space="preserve"> and the </w:t>
      </w:r>
      <w:r w:rsidR="00C25B5B">
        <w:rPr>
          <w:b/>
        </w:rPr>
        <w:t xml:space="preserve">FV </w:t>
      </w:r>
      <w:r w:rsidR="00C25B5B">
        <w:t xml:space="preserve">and </w:t>
      </w:r>
      <w:r w:rsidR="00C25B5B">
        <w:rPr>
          <w:b/>
        </w:rPr>
        <w:t xml:space="preserve">GAAP </w:t>
      </w:r>
      <w:r w:rsidR="00C25B5B">
        <w:t>time series standard deviations</w:t>
      </w:r>
      <w:r w:rsidR="00C25B5B">
        <w:rPr>
          <w:b/>
        </w:rPr>
        <w:t xml:space="preserve"> </w:t>
      </w:r>
      <w:r w:rsidR="00711B1D" w:rsidRPr="00C25B5B">
        <w:t>being</w:t>
      </w:r>
      <w:r w:rsidR="00711B1D">
        <w:t xml:space="preserve"> statistically significant</w:t>
      </w:r>
      <w:r w:rsidR="00361179">
        <w:rPr>
          <w:b/>
        </w:rPr>
        <w:t xml:space="preserve"> </w:t>
      </w:r>
      <w:r w:rsidR="0081498C" w:rsidRPr="007C63C4">
        <w:t xml:space="preserve">at </w:t>
      </w:r>
      <w:r w:rsidR="00107DC6">
        <w:rPr>
          <w:i/>
        </w:rPr>
        <w:t>p</w:t>
      </w:r>
      <w:r w:rsidR="00B06325">
        <w:rPr>
          <w:i/>
        </w:rPr>
        <w:t xml:space="preserve"> </w:t>
      </w:r>
      <w:r w:rsidR="00107DC6">
        <w:rPr>
          <w:i/>
        </w:rPr>
        <w:t>=</w:t>
      </w:r>
      <w:r w:rsidR="00B06325">
        <w:rPr>
          <w:i/>
        </w:rPr>
        <w:t xml:space="preserve"> </w:t>
      </w:r>
      <w:r w:rsidR="00C80FB6" w:rsidRPr="00C80FB6">
        <w:t>0</w:t>
      </w:r>
      <w:r w:rsidR="00107DC6">
        <w:t xml:space="preserve">.04 and </w:t>
      </w:r>
      <w:r w:rsidR="0081498C" w:rsidRPr="007C63C4">
        <w:rPr>
          <w:i/>
        </w:rPr>
        <w:t>p</w:t>
      </w:r>
      <w:r w:rsidR="0081498C" w:rsidRPr="007C63C4">
        <w:t xml:space="preserve"> &lt;</w:t>
      </w:r>
      <w:r w:rsidR="00B06325">
        <w:t xml:space="preserve"> </w:t>
      </w:r>
      <w:r w:rsidR="00471B96">
        <w:t>0</w:t>
      </w:r>
      <w:r w:rsidR="00107DC6">
        <w:t>.01</w:t>
      </w:r>
      <w:r w:rsidR="00C25B5B">
        <w:t>, respectively.</w:t>
      </w:r>
      <w:r w:rsidR="0081498C" w:rsidRPr="007C63C4">
        <w:t xml:space="preserve">. </w:t>
      </w:r>
      <w:r w:rsidR="00646505">
        <w:t xml:space="preserve"> </w:t>
      </w:r>
      <w:r w:rsidR="00BB6B88" w:rsidRPr="00BB6B88">
        <w:t>Furthermore</w:t>
      </w:r>
      <w:r w:rsidR="00BB6B88">
        <w:t xml:space="preserve">, although the </w:t>
      </w:r>
      <w:r w:rsidR="00BB6B88" w:rsidRPr="00BB6B88">
        <w:t>standard deviation of</w:t>
      </w:r>
      <w:r w:rsidR="00BB6B88">
        <w:rPr>
          <w:b/>
        </w:rPr>
        <w:t xml:space="preserve"> </w:t>
      </w:r>
      <w:r w:rsidR="00BB6B88" w:rsidRPr="00BB6B88">
        <w:rPr>
          <w:b/>
        </w:rPr>
        <w:t xml:space="preserve">FV </w:t>
      </w:r>
      <w:r w:rsidR="00BB6B88" w:rsidRPr="00BB6B88">
        <w:t>is greater in magnitude</w:t>
      </w:r>
      <w:r w:rsidR="00BB6B88">
        <w:rPr>
          <w:b/>
        </w:rPr>
        <w:t xml:space="preserve"> </w:t>
      </w:r>
      <w:r w:rsidR="00BB6B88">
        <w:t xml:space="preserve">than the standard deviation of </w:t>
      </w:r>
      <w:r w:rsidR="00BB6B88" w:rsidRPr="00BB6B88">
        <w:rPr>
          <w:b/>
        </w:rPr>
        <w:t>GAAP</w:t>
      </w:r>
      <w:r w:rsidR="00BB6B88">
        <w:t xml:space="preserve">, the difference is not statistically </w:t>
      </w:r>
      <w:r w:rsidR="009C25BD">
        <w:t>distinguishable from zero</w:t>
      </w:r>
      <w:r w:rsidR="00646505">
        <w:t xml:space="preserve">. </w:t>
      </w:r>
      <w:r w:rsidR="00BB6B88">
        <w:t xml:space="preserve">This </w:t>
      </w:r>
      <w:r w:rsidR="008B078D">
        <w:t xml:space="preserve">indicates for this sample of banks </w:t>
      </w:r>
      <w:r w:rsidR="00BB6B88">
        <w:t xml:space="preserve">that fair value </w:t>
      </w:r>
      <w:r w:rsidR="00951158">
        <w:t>accounting</w:t>
      </w:r>
      <w:r w:rsidR="00BB6B88">
        <w:t xml:space="preserve"> </w:t>
      </w:r>
      <w:r w:rsidR="008B078D">
        <w:t xml:space="preserve">does </w:t>
      </w:r>
      <w:r w:rsidR="00BB6B88">
        <w:t xml:space="preserve">not make the average bank look </w:t>
      </w:r>
      <w:r w:rsidR="00353B70">
        <w:t xml:space="preserve">more volatile </w:t>
      </w:r>
      <w:r w:rsidR="009649BD">
        <w:t>than</w:t>
      </w:r>
      <w:r w:rsidR="00951158">
        <w:t xml:space="preserve"> current GAAP</w:t>
      </w:r>
      <w:r w:rsidR="009649BD">
        <w:t xml:space="preserve"> would,</w:t>
      </w:r>
      <w:r w:rsidR="00951158">
        <w:t xml:space="preserve"> </w:t>
      </w:r>
      <w:r w:rsidR="00BB6B88">
        <w:t xml:space="preserve">but </w:t>
      </w:r>
      <w:r w:rsidR="00871646">
        <w:t xml:space="preserve">it </w:t>
      </w:r>
      <w:r w:rsidR="008B078D">
        <w:t xml:space="preserve">does </w:t>
      </w:r>
      <w:r w:rsidR="00BB6B88">
        <w:t xml:space="preserve">make it look </w:t>
      </w:r>
      <w:r w:rsidR="00353B70">
        <w:t>more volatile</w:t>
      </w:r>
      <w:r w:rsidR="00BB6B88">
        <w:t xml:space="preserve"> than </w:t>
      </w:r>
      <w:r w:rsidR="00951158">
        <w:t xml:space="preserve">under </w:t>
      </w:r>
      <w:r w:rsidR="00BB6B88">
        <w:t xml:space="preserve">Tier 1 </w:t>
      </w:r>
      <w:r w:rsidR="00951158">
        <w:t>capital</w:t>
      </w:r>
      <w:r w:rsidR="00646505">
        <w:t xml:space="preserve">. </w:t>
      </w:r>
      <w:r w:rsidR="00004AA9">
        <w:t xml:space="preserve">      </w:t>
      </w:r>
    </w:p>
    <w:p w:rsidR="006228E2" w:rsidRDefault="000576E3" w:rsidP="00200E55">
      <w:pPr>
        <w:spacing w:line="480" w:lineRule="auto"/>
        <w:ind w:firstLine="720"/>
        <w:rPr>
          <w:color w:val="000000"/>
        </w:rPr>
      </w:pPr>
      <w:r>
        <w:t>The yield spread</w:t>
      </w:r>
      <w:r w:rsidR="001002FA">
        <w:t xml:space="preserve"> is calculated as </w:t>
      </w:r>
      <w:r w:rsidR="001002FA" w:rsidRPr="00200E55">
        <w:t xml:space="preserve">the </w:t>
      </w:r>
      <w:r w:rsidR="001002FA" w:rsidRPr="00200E55">
        <w:rPr>
          <w:color w:val="000000"/>
        </w:rPr>
        <w:t xml:space="preserve">yield at the time </w:t>
      </w:r>
      <w:r w:rsidR="001002FA">
        <w:rPr>
          <w:color w:val="000000"/>
        </w:rPr>
        <w:t xml:space="preserve">the bond is </w:t>
      </w:r>
      <w:r w:rsidR="001002FA" w:rsidRPr="00200E55">
        <w:rPr>
          <w:color w:val="000000"/>
        </w:rPr>
        <w:t>issu</w:t>
      </w:r>
      <w:r w:rsidR="001002FA">
        <w:rPr>
          <w:color w:val="000000"/>
        </w:rPr>
        <w:t>ed</w:t>
      </w:r>
      <w:r w:rsidR="001002FA" w:rsidRPr="00200E55">
        <w:rPr>
          <w:color w:val="000000"/>
        </w:rPr>
        <w:t xml:space="preserve"> or trade</w:t>
      </w:r>
      <w:r w:rsidR="001002FA">
        <w:rPr>
          <w:color w:val="000000"/>
        </w:rPr>
        <w:t>d</w:t>
      </w:r>
      <w:r w:rsidR="001002FA" w:rsidRPr="00200E55">
        <w:rPr>
          <w:color w:val="000000"/>
        </w:rPr>
        <w:t xml:space="preserve"> (per FISD or TRACE, respectively</w:t>
      </w:r>
      <w:r w:rsidR="001002FA">
        <w:rPr>
          <w:color w:val="000000"/>
        </w:rPr>
        <w:t xml:space="preserve">) less the treasury rate for bonds of </w:t>
      </w:r>
      <w:r w:rsidR="001002FA" w:rsidRPr="00200E55">
        <w:rPr>
          <w:color w:val="000000"/>
        </w:rPr>
        <w:t xml:space="preserve">similar maturity. The treasury rate for 1, 2, 3, 5, 7, 10, 20, and 30 year bonds is obtained from the Federal Reserve H.15 Statistical Release, and </w:t>
      </w:r>
      <w:r w:rsidR="001002FA">
        <w:rPr>
          <w:color w:val="000000"/>
        </w:rPr>
        <w:t xml:space="preserve">similar to </w:t>
      </w:r>
      <w:r w:rsidR="001002FA" w:rsidRPr="00954A48">
        <w:t>Collin-</w:t>
      </w:r>
      <w:proofErr w:type="spellStart"/>
      <w:r w:rsidR="001002FA" w:rsidRPr="00954A48">
        <w:t>Du</w:t>
      </w:r>
      <w:r w:rsidR="001002FA">
        <w:t>fresne</w:t>
      </w:r>
      <w:proofErr w:type="spellEnd"/>
      <w:r w:rsidR="001002FA">
        <w:t xml:space="preserve">, Goldstein, and Martin (2001), </w:t>
      </w:r>
      <w:r w:rsidR="001002FA" w:rsidRPr="00200E55">
        <w:rPr>
          <w:color w:val="000000"/>
        </w:rPr>
        <w:t xml:space="preserve">we use linear interpolation to estimate the omitted maturities. </w:t>
      </w:r>
      <w:r w:rsidR="001002FA">
        <w:t xml:space="preserve">To match the bond’s maturity to the treasury </w:t>
      </w:r>
      <w:r w:rsidR="001002FA">
        <w:lastRenderedPageBreak/>
        <w:t>maturity, we round the years to maturity for each bond to the nearest integer and match it to the treasury rate for that year.</w:t>
      </w:r>
      <w:r w:rsidR="001002FA">
        <w:rPr>
          <w:rStyle w:val="FootnoteReference"/>
        </w:rPr>
        <w:footnoteReference w:id="18"/>
      </w:r>
      <w:r w:rsidR="001002FA">
        <w:t xml:space="preserve"> If the time to maturity is less than six months, the observation is dropped</w:t>
      </w:r>
      <w:r w:rsidR="00646505">
        <w:t xml:space="preserve">. </w:t>
      </w:r>
      <w:r w:rsidR="001002FA">
        <w:t>For the few observations with years to maturity greater than 30, we use the 30</w:t>
      </w:r>
      <w:r w:rsidR="005E5934">
        <w:t>-</w:t>
      </w:r>
      <w:r w:rsidR="001002FA">
        <w:t>year rate</w:t>
      </w:r>
      <w:r w:rsidR="00646505">
        <w:t xml:space="preserve">. </w:t>
      </w:r>
      <w:r w:rsidR="001002FA">
        <w:t>Lastly, w</w:t>
      </w:r>
      <w:r w:rsidR="001002FA">
        <w:rPr>
          <w:color w:val="000000"/>
        </w:rPr>
        <w:t>e only include those observations with a yield spread that is greater than zero</w:t>
      </w:r>
      <w:r w:rsidR="00646505">
        <w:rPr>
          <w:color w:val="000000"/>
        </w:rPr>
        <w:t xml:space="preserve">. </w:t>
      </w:r>
      <w:r w:rsidR="006228E2">
        <w:rPr>
          <w:color w:val="000000"/>
        </w:rPr>
        <w:t>The average (median) yield spread is 2</w:t>
      </w:r>
      <w:r>
        <w:rPr>
          <w:color w:val="000000"/>
        </w:rPr>
        <w:t>48</w:t>
      </w:r>
      <w:r w:rsidR="006228E2">
        <w:rPr>
          <w:color w:val="000000"/>
        </w:rPr>
        <w:t xml:space="preserve"> (</w:t>
      </w:r>
      <w:r w:rsidR="00A41B99">
        <w:rPr>
          <w:color w:val="000000"/>
        </w:rPr>
        <w:t>153</w:t>
      </w:r>
      <w:r w:rsidR="006228E2">
        <w:rPr>
          <w:color w:val="000000"/>
        </w:rPr>
        <w:t>) basis points.</w:t>
      </w:r>
      <w:r w:rsidR="002746A3">
        <w:rPr>
          <w:rStyle w:val="FootnoteReference"/>
          <w:color w:val="000000"/>
        </w:rPr>
        <w:footnoteReference w:id="19"/>
      </w:r>
      <w:r w:rsidR="006228E2">
        <w:rPr>
          <w:color w:val="000000"/>
        </w:rPr>
        <w:t xml:space="preserve">  </w:t>
      </w:r>
    </w:p>
    <w:p w:rsidR="001002FA" w:rsidRDefault="001002FA" w:rsidP="00200E55">
      <w:pPr>
        <w:spacing w:line="480" w:lineRule="auto"/>
        <w:ind w:firstLine="720"/>
        <w:rPr>
          <w:color w:val="000000"/>
        </w:rPr>
      </w:pPr>
      <w:r w:rsidRPr="00876AD3">
        <w:rPr>
          <w:color w:val="000000"/>
        </w:rPr>
        <w:t xml:space="preserve">Note that FISD provides a measure of the yield spread for </w:t>
      </w:r>
      <w:r w:rsidR="00A41B99" w:rsidRPr="00876AD3">
        <w:rPr>
          <w:color w:val="000000"/>
        </w:rPr>
        <w:t>11</w:t>
      </w:r>
      <w:r w:rsidR="00A41B99">
        <w:rPr>
          <w:color w:val="000000"/>
        </w:rPr>
        <w:t>6</w:t>
      </w:r>
      <w:r w:rsidR="00A41B99" w:rsidRPr="00876AD3">
        <w:rPr>
          <w:color w:val="000000"/>
        </w:rPr>
        <w:t xml:space="preserve"> </w:t>
      </w:r>
      <w:r w:rsidRPr="00876AD3">
        <w:rPr>
          <w:color w:val="000000"/>
        </w:rPr>
        <w:t>of the bonds in our sample at the time of issuance</w:t>
      </w:r>
      <w:r w:rsidR="00646505">
        <w:rPr>
          <w:color w:val="000000"/>
        </w:rPr>
        <w:t xml:space="preserve">. </w:t>
      </w:r>
      <w:r w:rsidRPr="00876AD3">
        <w:rPr>
          <w:color w:val="000000"/>
        </w:rPr>
        <w:t xml:space="preserve">The </w:t>
      </w:r>
      <w:r w:rsidR="00951158">
        <w:rPr>
          <w:color w:val="000000"/>
        </w:rPr>
        <w:t xml:space="preserve">untabulated </w:t>
      </w:r>
      <w:r w:rsidRPr="00876AD3">
        <w:rPr>
          <w:color w:val="000000"/>
        </w:rPr>
        <w:t xml:space="preserve">Pearson correlation coefficient between our estimated measure and the FISD reported measure for these </w:t>
      </w:r>
      <w:r w:rsidR="00A41B99" w:rsidRPr="00876AD3">
        <w:rPr>
          <w:color w:val="000000"/>
        </w:rPr>
        <w:t>11</w:t>
      </w:r>
      <w:r w:rsidR="00A41B99">
        <w:rPr>
          <w:color w:val="000000"/>
        </w:rPr>
        <w:t>6</w:t>
      </w:r>
      <w:r w:rsidR="00A41B99" w:rsidRPr="00876AD3">
        <w:rPr>
          <w:color w:val="000000"/>
        </w:rPr>
        <w:t xml:space="preserve"> </w:t>
      </w:r>
      <w:r w:rsidRPr="00876AD3">
        <w:rPr>
          <w:color w:val="000000"/>
        </w:rPr>
        <w:t>observations is 0.</w:t>
      </w:r>
      <w:r w:rsidR="00A41B99" w:rsidRPr="00876AD3">
        <w:rPr>
          <w:color w:val="000000"/>
        </w:rPr>
        <w:t>92</w:t>
      </w:r>
      <w:r w:rsidR="00A41B99">
        <w:rPr>
          <w:color w:val="000000"/>
        </w:rPr>
        <w:t>94</w:t>
      </w:r>
      <w:r w:rsidR="00876AD3" w:rsidRPr="00876AD3">
        <w:rPr>
          <w:color w:val="000000"/>
        </w:rPr>
        <w:t xml:space="preserve">, which </w:t>
      </w:r>
      <w:r w:rsidR="00884B97">
        <w:rPr>
          <w:color w:val="000000"/>
        </w:rPr>
        <w:t>indicates that</w:t>
      </w:r>
      <w:r w:rsidR="00876AD3" w:rsidRPr="00876AD3">
        <w:rPr>
          <w:color w:val="000000"/>
        </w:rPr>
        <w:t xml:space="preserve"> our </w:t>
      </w:r>
      <w:r w:rsidRPr="00876AD3">
        <w:rPr>
          <w:color w:val="000000"/>
        </w:rPr>
        <w:t>estimation method</w:t>
      </w:r>
      <w:r w:rsidR="00884B97">
        <w:rPr>
          <w:color w:val="000000"/>
        </w:rPr>
        <w:t xml:space="preserve"> is reliable</w:t>
      </w:r>
      <w:r w:rsidR="00646505">
        <w:rPr>
          <w:color w:val="000000"/>
        </w:rPr>
        <w:t xml:space="preserve">. </w:t>
      </w:r>
      <w:r>
        <w:rPr>
          <w:color w:val="000000"/>
        </w:rPr>
        <w:t xml:space="preserve"> </w:t>
      </w:r>
    </w:p>
    <w:p w:rsidR="00A20173" w:rsidRDefault="00784ED4" w:rsidP="00AB31E5">
      <w:pPr>
        <w:spacing w:line="480" w:lineRule="auto"/>
        <w:ind w:firstLine="720"/>
        <w:jc w:val="center"/>
        <w:rPr>
          <w:color w:val="000000"/>
        </w:rPr>
      </w:pPr>
      <w:r>
        <w:rPr>
          <w:color w:val="000000"/>
        </w:rPr>
        <w:t>[INSERT TABLE 2 ABOUT HERE]</w:t>
      </w:r>
    </w:p>
    <w:p w:rsidR="004E75A9" w:rsidRDefault="005E1190" w:rsidP="00123D02">
      <w:pPr>
        <w:spacing w:line="480" w:lineRule="auto"/>
        <w:ind w:firstLine="720"/>
      </w:pPr>
      <w:r>
        <w:rPr>
          <w:color w:val="000000"/>
        </w:rPr>
        <w:t xml:space="preserve">In </w:t>
      </w:r>
      <w:r w:rsidR="005E5934">
        <w:rPr>
          <w:color w:val="000000"/>
        </w:rPr>
        <w:t>T</w:t>
      </w:r>
      <w:r w:rsidR="00464BBD">
        <w:rPr>
          <w:color w:val="000000"/>
        </w:rPr>
        <w:t xml:space="preserve">able </w:t>
      </w:r>
      <w:r w:rsidR="00897184">
        <w:rPr>
          <w:color w:val="000000"/>
        </w:rPr>
        <w:t>2</w:t>
      </w:r>
      <w:r>
        <w:rPr>
          <w:color w:val="000000"/>
        </w:rPr>
        <w:t xml:space="preserve">, we report </w:t>
      </w:r>
      <w:r w:rsidR="00876AD3">
        <w:rPr>
          <w:color w:val="000000"/>
        </w:rPr>
        <w:t xml:space="preserve">results of regressions of yield spread on </w:t>
      </w:r>
      <w:r w:rsidR="00123D02">
        <w:rPr>
          <w:color w:val="000000"/>
        </w:rPr>
        <w:t xml:space="preserve">our </w:t>
      </w:r>
      <w:r w:rsidR="00AD2E1D">
        <w:rPr>
          <w:color w:val="000000"/>
        </w:rPr>
        <w:t>three</w:t>
      </w:r>
      <w:r w:rsidR="00123D02">
        <w:rPr>
          <w:color w:val="000000"/>
        </w:rPr>
        <w:t xml:space="preserve"> </w:t>
      </w:r>
      <w:r w:rsidR="00876AD3">
        <w:rPr>
          <w:color w:val="000000"/>
        </w:rPr>
        <w:t>leverage</w:t>
      </w:r>
      <w:r w:rsidR="00123D02">
        <w:rPr>
          <w:color w:val="000000"/>
        </w:rPr>
        <w:t xml:space="preserve"> measures</w:t>
      </w:r>
      <w:r w:rsidR="00123D02" w:rsidRPr="00123D02">
        <w:rPr>
          <w:color w:val="000000"/>
        </w:rPr>
        <w:t xml:space="preserve"> </w:t>
      </w:r>
      <w:r w:rsidR="00123D02">
        <w:rPr>
          <w:color w:val="000000"/>
        </w:rPr>
        <w:t xml:space="preserve">as of the most recent fiscal </w:t>
      </w:r>
      <w:r w:rsidR="008B078D">
        <w:rPr>
          <w:color w:val="000000"/>
        </w:rPr>
        <w:t>year-end</w:t>
      </w:r>
      <w:r w:rsidR="00646505">
        <w:rPr>
          <w:color w:val="000000"/>
        </w:rPr>
        <w:t xml:space="preserve">. </w:t>
      </w:r>
      <w:r w:rsidR="00876AD3">
        <w:rPr>
          <w:color w:val="000000"/>
        </w:rPr>
        <w:t>In panel A (C)</w:t>
      </w:r>
      <w:r w:rsidR="00353B70">
        <w:rPr>
          <w:color w:val="000000"/>
        </w:rPr>
        <w:t>,</w:t>
      </w:r>
      <w:r w:rsidR="00876AD3">
        <w:rPr>
          <w:color w:val="000000"/>
        </w:rPr>
        <w:t xml:space="preserve"> we report results of </w:t>
      </w:r>
      <w:r w:rsidR="00123D02">
        <w:rPr>
          <w:color w:val="000000"/>
        </w:rPr>
        <w:t xml:space="preserve">the </w:t>
      </w:r>
      <w:r w:rsidR="00AD2E1D">
        <w:rPr>
          <w:color w:val="000000"/>
        </w:rPr>
        <w:t>three</w:t>
      </w:r>
      <w:r w:rsidR="00876AD3">
        <w:rPr>
          <w:color w:val="000000"/>
        </w:rPr>
        <w:t xml:space="preserve"> univariate (multivariate) regression</w:t>
      </w:r>
      <w:r w:rsidR="00123D02">
        <w:rPr>
          <w:color w:val="000000"/>
        </w:rPr>
        <w:t>s</w:t>
      </w:r>
      <w:r w:rsidR="00876AD3">
        <w:rPr>
          <w:color w:val="000000"/>
        </w:rPr>
        <w:t xml:space="preserve"> </w:t>
      </w:r>
      <w:r w:rsidR="00123D02">
        <w:rPr>
          <w:color w:val="000000"/>
        </w:rPr>
        <w:t xml:space="preserve">including </w:t>
      </w:r>
      <w:r w:rsidR="00123D02">
        <w:t>the coefficients, standard errors, and adjusted R</w:t>
      </w:r>
      <w:r w:rsidR="00123D02">
        <w:rPr>
          <w:vertAlign w:val="superscript"/>
        </w:rPr>
        <w:t>2</w:t>
      </w:r>
      <w:r w:rsidR="00123D02">
        <w:t>s</w:t>
      </w:r>
      <w:r w:rsidR="005E5934">
        <w:t>,</w:t>
      </w:r>
      <w:r w:rsidR="00123D02">
        <w:t xml:space="preserve"> </w:t>
      </w:r>
      <w:r w:rsidR="00876AD3">
        <w:rPr>
          <w:color w:val="000000"/>
        </w:rPr>
        <w:t>and in panel B (</w:t>
      </w:r>
      <w:r w:rsidR="00123D02">
        <w:rPr>
          <w:color w:val="000000"/>
        </w:rPr>
        <w:t>D</w:t>
      </w:r>
      <w:r w:rsidR="00876AD3">
        <w:rPr>
          <w:color w:val="000000"/>
        </w:rPr>
        <w:t xml:space="preserve">) we report </w:t>
      </w:r>
      <w:r w:rsidR="00876AD3">
        <w:t xml:space="preserve">p-values from </w:t>
      </w:r>
      <w:proofErr w:type="spellStart"/>
      <w:r w:rsidR="00876AD3">
        <w:t>Vuong</w:t>
      </w:r>
      <w:proofErr w:type="spellEnd"/>
      <w:r w:rsidR="00876AD3">
        <w:t xml:space="preserve"> tests of differences in the adjusted R</w:t>
      </w:r>
      <w:r w:rsidR="00876AD3">
        <w:rPr>
          <w:vertAlign w:val="superscript"/>
        </w:rPr>
        <w:t>2</w:t>
      </w:r>
      <w:r w:rsidR="00876AD3">
        <w:t xml:space="preserve">s across the </w:t>
      </w:r>
      <w:r w:rsidR="00AD2E1D">
        <w:t>three</w:t>
      </w:r>
      <w:r w:rsidR="00123D02">
        <w:t xml:space="preserve"> </w:t>
      </w:r>
      <w:r w:rsidR="00876AD3">
        <w:t>models</w:t>
      </w:r>
      <w:r w:rsidR="00123D02">
        <w:t xml:space="preserve"> reported in panel A (C)</w:t>
      </w:r>
      <w:r w:rsidR="00646505">
        <w:t xml:space="preserve">. </w:t>
      </w:r>
      <w:r w:rsidR="009649BD">
        <w:rPr>
          <w:color w:val="000000"/>
        </w:rPr>
        <w:t>A</w:t>
      </w:r>
      <w:r w:rsidR="00951158">
        <w:rPr>
          <w:color w:val="000000"/>
        </w:rPr>
        <w:t>ll</w:t>
      </w:r>
      <w:r w:rsidR="004E75A9">
        <w:rPr>
          <w:color w:val="000000"/>
        </w:rPr>
        <w:t xml:space="preserve"> regressions include firm</w:t>
      </w:r>
      <w:r w:rsidR="004C6A7E">
        <w:rPr>
          <w:color w:val="000000"/>
        </w:rPr>
        <w:t>-</w:t>
      </w:r>
      <w:r w:rsidR="004E75A9">
        <w:rPr>
          <w:color w:val="000000"/>
        </w:rPr>
        <w:t>fixed</w:t>
      </w:r>
      <w:r w:rsidR="005E5934">
        <w:rPr>
          <w:color w:val="000000"/>
        </w:rPr>
        <w:t xml:space="preserve"> </w:t>
      </w:r>
      <w:r w:rsidR="004E75A9">
        <w:rPr>
          <w:color w:val="000000"/>
        </w:rPr>
        <w:t>effects</w:t>
      </w:r>
      <w:r w:rsidR="00884B97">
        <w:rPr>
          <w:color w:val="000000"/>
        </w:rPr>
        <w:t>,</w:t>
      </w:r>
      <w:r w:rsidR="004E75A9">
        <w:rPr>
          <w:color w:val="000000"/>
        </w:rPr>
        <w:t xml:space="preserve"> </w:t>
      </w:r>
      <w:r w:rsidR="00F438A9">
        <w:rPr>
          <w:color w:val="000000"/>
        </w:rPr>
        <w:t>cluster</w:t>
      </w:r>
      <w:r w:rsidR="004E75A9">
        <w:rPr>
          <w:color w:val="000000"/>
        </w:rPr>
        <w:t xml:space="preserve"> standard errors by </w:t>
      </w:r>
      <w:r w:rsidR="00ED1434">
        <w:rPr>
          <w:color w:val="000000"/>
        </w:rPr>
        <w:t>bank</w:t>
      </w:r>
      <w:r w:rsidR="00884B97">
        <w:rPr>
          <w:color w:val="000000"/>
        </w:rPr>
        <w:t>, and</w:t>
      </w:r>
      <w:r w:rsidR="009649BD">
        <w:rPr>
          <w:color w:val="000000"/>
        </w:rPr>
        <w:t xml:space="preserve"> we</w:t>
      </w:r>
      <w:r w:rsidR="00884B97">
        <w:rPr>
          <w:color w:val="000000"/>
        </w:rPr>
        <w:t xml:space="preserve"> </w:t>
      </w:r>
      <w:proofErr w:type="spellStart"/>
      <w:r w:rsidR="00F438A9">
        <w:rPr>
          <w:color w:val="000000"/>
        </w:rPr>
        <w:t>winsorize</w:t>
      </w:r>
      <w:proofErr w:type="spellEnd"/>
      <w:r w:rsidR="00F438A9">
        <w:rPr>
          <w:color w:val="000000"/>
        </w:rPr>
        <w:t xml:space="preserve"> </w:t>
      </w:r>
      <w:r w:rsidR="00884B97">
        <w:rPr>
          <w:color w:val="000000"/>
        </w:rPr>
        <w:t>all variables at 1</w:t>
      </w:r>
      <w:r w:rsidR="007924A6">
        <w:rPr>
          <w:color w:val="000000"/>
        </w:rPr>
        <w:t xml:space="preserve"> percent</w:t>
      </w:r>
      <w:r w:rsidR="00884B97">
        <w:rPr>
          <w:color w:val="000000"/>
        </w:rPr>
        <w:t xml:space="preserve"> and 99</w:t>
      </w:r>
      <w:r w:rsidR="007924A6">
        <w:rPr>
          <w:color w:val="000000"/>
        </w:rPr>
        <w:t xml:space="preserve"> percent</w:t>
      </w:r>
      <w:r w:rsidR="00646505">
        <w:rPr>
          <w:color w:val="000000"/>
        </w:rPr>
        <w:t xml:space="preserve">. </w:t>
      </w:r>
      <w:r w:rsidR="004E75A9">
        <w:t xml:space="preserve">Our inferences, however, are similar if we instead use an issue-fixed-effects model. </w:t>
      </w:r>
    </w:p>
    <w:p w:rsidR="00123D02" w:rsidRPr="00112D27" w:rsidRDefault="00123D02" w:rsidP="00123D02">
      <w:pPr>
        <w:spacing w:line="480" w:lineRule="auto"/>
        <w:ind w:firstLine="720"/>
        <w:rPr>
          <w:color w:val="000000"/>
        </w:rPr>
      </w:pPr>
      <w:r>
        <w:rPr>
          <w:color w:val="000000"/>
        </w:rPr>
        <w:t xml:space="preserve">In each </w:t>
      </w:r>
      <w:r w:rsidR="00951158">
        <w:rPr>
          <w:color w:val="000000"/>
        </w:rPr>
        <w:t xml:space="preserve">multivariate </w:t>
      </w:r>
      <w:r>
        <w:rPr>
          <w:color w:val="000000"/>
        </w:rPr>
        <w:t>regression we include the following bank- and bond-specific control variables</w:t>
      </w:r>
      <w:r w:rsidR="002C115B">
        <w:rPr>
          <w:color w:val="000000"/>
        </w:rPr>
        <w:t>. The bank-specific variables a</w:t>
      </w:r>
      <w:r w:rsidR="002C115B">
        <w:t xml:space="preserve">re disaggregated amounts that </w:t>
      </w:r>
      <w:r w:rsidR="002C115B" w:rsidRPr="006F6E4C">
        <w:t>provid</w:t>
      </w:r>
      <w:r w:rsidR="002C115B">
        <w:t>e</w:t>
      </w:r>
      <w:r w:rsidR="002C115B" w:rsidRPr="006F6E4C">
        <w:t xml:space="preserve"> </w:t>
      </w:r>
      <w:r w:rsidR="002C115B">
        <w:t>additional</w:t>
      </w:r>
      <w:r w:rsidR="002C115B" w:rsidRPr="006F6E4C">
        <w:t xml:space="preserve"> </w:t>
      </w:r>
      <w:r w:rsidR="002C115B">
        <w:lastRenderedPageBreak/>
        <w:t xml:space="preserve">financial statement </w:t>
      </w:r>
      <w:r w:rsidR="002C115B" w:rsidRPr="006F6E4C">
        <w:t xml:space="preserve">information </w:t>
      </w:r>
      <w:r w:rsidR="002C115B">
        <w:t xml:space="preserve">not included in leverage measures </w:t>
      </w:r>
      <w:r w:rsidR="002C115B" w:rsidRPr="006F6E4C">
        <w:t>about the quality of the banks’ assets</w:t>
      </w:r>
      <w:r w:rsidR="002C115B">
        <w:t>, including their credit and interest rate risk</w:t>
      </w:r>
      <w:r w:rsidR="008B078D">
        <w:t xml:space="preserve">: </w:t>
      </w:r>
      <w:r w:rsidR="002C115B">
        <w:t xml:space="preserve"> </w:t>
      </w:r>
      <w:r w:rsidR="008B078D">
        <w:t xml:space="preserve">the </w:t>
      </w:r>
      <w:r w:rsidR="002C115B">
        <w:t>variable</w:t>
      </w:r>
      <w:r w:rsidR="008B078D">
        <w:t>s</w:t>
      </w:r>
      <w:r w:rsidR="002C115B">
        <w:t xml:space="preserve"> </w:t>
      </w:r>
      <w:r w:rsidR="008B078D">
        <w:t xml:space="preserve">selected </w:t>
      </w:r>
      <w:r w:rsidR="002C115B">
        <w:t xml:space="preserve">follow Flannery and </w:t>
      </w:r>
      <w:proofErr w:type="spellStart"/>
      <w:r w:rsidR="002C115B">
        <w:t>Sorescu</w:t>
      </w:r>
      <w:proofErr w:type="spellEnd"/>
      <w:r w:rsidR="002C115B">
        <w:t xml:space="preserve"> (1996)</w:t>
      </w:r>
      <w:r w:rsidR="00646505">
        <w:t xml:space="preserve">. </w:t>
      </w:r>
      <w:r w:rsidR="002C115B">
        <w:t>The bond-specific variables control for characteristics of the bond that are likely to impact the spread required</w:t>
      </w:r>
      <w:r w:rsidR="008B078D">
        <w:t>; the variable</w:t>
      </w:r>
      <w:r w:rsidR="003E5BAF">
        <w:t>s</w:t>
      </w:r>
      <w:r w:rsidR="008B078D">
        <w:t xml:space="preserve"> selected</w:t>
      </w:r>
      <w:r w:rsidR="002C115B">
        <w:t xml:space="preserve"> follow Beaver, Shakespeare, and </w:t>
      </w:r>
      <w:proofErr w:type="spellStart"/>
      <w:r w:rsidR="002C115B">
        <w:t>Soliman</w:t>
      </w:r>
      <w:proofErr w:type="spellEnd"/>
      <w:r w:rsidR="002C115B">
        <w:t xml:space="preserve"> (2006).</w:t>
      </w:r>
      <w:r w:rsidR="002C115B">
        <w:rPr>
          <w:rStyle w:val="FootnoteReference"/>
        </w:rPr>
        <w:footnoteReference w:id="20"/>
      </w:r>
    </w:p>
    <w:p w:rsidR="00123D02" w:rsidRPr="00455D6C" w:rsidRDefault="00123D02" w:rsidP="00951158">
      <w:pPr>
        <w:ind w:left="144"/>
        <w:rPr>
          <w:bCs/>
          <w:i/>
          <w:iCs/>
          <w:color w:val="000000"/>
          <w:lang w:eastAsia="en-US"/>
        </w:rPr>
      </w:pPr>
      <w:r>
        <w:rPr>
          <w:bCs/>
          <w:i/>
          <w:iCs/>
          <w:color w:val="000000"/>
          <w:lang w:eastAsia="en-US"/>
        </w:rPr>
        <w:t>Asset Quality Measures</w:t>
      </w:r>
    </w:p>
    <w:p w:rsidR="00123D02" w:rsidRDefault="00123D02" w:rsidP="00951158">
      <w:pPr>
        <w:ind w:left="144"/>
        <w:rPr>
          <w:color w:val="000000"/>
          <w:lang w:eastAsia="en-US"/>
        </w:rPr>
      </w:pPr>
      <w:proofErr w:type="spellStart"/>
      <w:r w:rsidRPr="001D6855">
        <w:rPr>
          <w:bCs/>
          <w:iCs/>
          <w:color w:val="000000"/>
          <w:lang w:eastAsia="en-US"/>
        </w:rPr>
        <w:t>NonAccrLoans</w:t>
      </w:r>
      <w:proofErr w:type="spellEnd"/>
      <w:r w:rsidRPr="001D6855">
        <w:rPr>
          <w:i/>
          <w:iCs/>
          <w:color w:val="000000"/>
          <w:lang w:eastAsia="en-US"/>
        </w:rPr>
        <w:t xml:space="preserve"> </w:t>
      </w:r>
      <w:r w:rsidR="00112D27">
        <w:rPr>
          <w:color w:val="000000"/>
          <w:lang w:eastAsia="en-US"/>
        </w:rPr>
        <w:t>=</w:t>
      </w:r>
      <w:r w:rsidRPr="001D6855">
        <w:rPr>
          <w:color w:val="000000"/>
          <w:lang w:eastAsia="en-US"/>
        </w:rPr>
        <w:t xml:space="preserve"> the ratio of loans in non-accrual status to total assets</w:t>
      </w:r>
      <w:r>
        <w:rPr>
          <w:color w:val="000000"/>
          <w:lang w:eastAsia="en-US"/>
        </w:rPr>
        <w:t xml:space="preserve"> as of the most recent fiscal yearend</w:t>
      </w:r>
      <w:r w:rsidRPr="001D6855">
        <w:rPr>
          <w:color w:val="000000"/>
          <w:lang w:eastAsia="en-US"/>
        </w:rPr>
        <w:t>.</w:t>
      </w:r>
      <w:r w:rsidR="00112D27">
        <w:rPr>
          <w:color w:val="000000"/>
          <w:lang w:eastAsia="en-US"/>
        </w:rPr>
        <w:t xml:space="preserve"> </w:t>
      </w:r>
    </w:p>
    <w:p w:rsidR="00123D02" w:rsidRDefault="00123D02" w:rsidP="00951158">
      <w:pPr>
        <w:ind w:left="144"/>
        <w:rPr>
          <w:color w:val="000000"/>
          <w:lang w:eastAsia="en-US"/>
        </w:rPr>
      </w:pPr>
    </w:p>
    <w:p w:rsidR="00123D02" w:rsidRDefault="00123D02" w:rsidP="00951158">
      <w:pPr>
        <w:ind w:left="144"/>
        <w:rPr>
          <w:color w:val="000000"/>
          <w:lang w:eastAsia="en-US"/>
        </w:rPr>
      </w:pPr>
      <w:proofErr w:type="spellStart"/>
      <w:r w:rsidRPr="001D6855">
        <w:rPr>
          <w:bCs/>
          <w:iCs/>
          <w:color w:val="000000"/>
          <w:lang w:eastAsia="en-US"/>
        </w:rPr>
        <w:t>PastDueLoans</w:t>
      </w:r>
      <w:proofErr w:type="spellEnd"/>
      <w:r w:rsidRPr="001D6855">
        <w:rPr>
          <w:color w:val="000000"/>
          <w:lang w:eastAsia="en-US"/>
        </w:rPr>
        <w:t xml:space="preserve"> </w:t>
      </w:r>
      <w:r w:rsidR="00112D27">
        <w:rPr>
          <w:color w:val="000000"/>
          <w:lang w:eastAsia="en-US"/>
        </w:rPr>
        <w:t>=</w:t>
      </w:r>
      <w:r w:rsidRPr="001D6855">
        <w:rPr>
          <w:color w:val="000000"/>
          <w:lang w:eastAsia="en-US"/>
        </w:rPr>
        <w:t xml:space="preserve"> the ratio of loans that are past due 90 days or greater to total assets</w:t>
      </w:r>
      <w:r w:rsidRPr="00932AEB">
        <w:rPr>
          <w:color w:val="000000"/>
          <w:lang w:eastAsia="en-US"/>
        </w:rPr>
        <w:t xml:space="preserve"> </w:t>
      </w:r>
      <w:r>
        <w:rPr>
          <w:color w:val="000000"/>
          <w:lang w:eastAsia="en-US"/>
        </w:rPr>
        <w:t xml:space="preserve">as of the most recent fiscal </w:t>
      </w:r>
      <w:r w:rsidR="008B078D">
        <w:rPr>
          <w:color w:val="000000"/>
          <w:lang w:eastAsia="en-US"/>
        </w:rPr>
        <w:t>year-end</w:t>
      </w:r>
      <w:r w:rsidRPr="001D6855">
        <w:rPr>
          <w:color w:val="000000"/>
          <w:lang w:eastAsia="en-US"/>
        </w:rPr>
        <w:t xml:space="preserve">. </w:t>
      </w:r>
    </w:p>
    <w:p w:rsidR="00123D02" w:rsidRDefault="00123D02" w:rsidP="00951158">
      <w:pPr>
        <w:ind w:left="144"/>
        <w:rPr>
          <w:color w:val="000000"/>
          <w:lang w:eastAsia="en-US"/>
        </w:rPr>
      </w:pPr>
    </w:p>
    <w:p w:rsidR="00123D02" w:rsidRDefault="00123D02" w:rsidP="00951158">
      <w:pPr>
        <w:ind w:left="144"/>
        <w:rPr>
          <w:color w:val="000000"/>
          <w:lang w:eastAsia="en-US"/>
        </w:rPr>
      </w:pPr>
      <w:r w:rsidRPr="001D6855">
        <w:rPr>
          <w:bCs/>
          <w:iCs/>
          <w:color w:val="000000"/>
          <w:lang w:eastAsia="en-US"/>
        </w:rPr>
        <w:t>OREO</w:t>
      </w:r>
      <w:r w:rsidRPr="001D6855">
        <w:rPr>
          <w:color w:val="000000"/>
          <w:lang w:eastAsia="en-US"/>
        </w:rPr>
        <w:t xml:space="preserve"> </w:t>
      </w:r>
      <w:r w:rsidR="00112D27">
        <w:rPr>
          <w:color w:val="000000"/>
          <w:lang w:eastAsia="en-US"/>
        </w:rPr>
        <w:t>=</w:t>
      </w:r>
      <w:r w:rsidRPr="001D6855">
        <w:rPr>
          <w:color w:val="000000"/>
          <w:lang w:eastAsia="en-US"/>
        </w:rPr>
        <w:t xml:space="preserve"> the ratio of other real estate owned to total assets</w:t>
      </w:r>
      <w:r w:rsidRPr="00932AEB">
        <w:rPr>
          <w:color w:val="000000"/>
          <w:lang w:eastAsia="en-US"/>
        </w:rPr>
        <w:t xml:space="preserve"> </w:t>
      </w:r>
      <w:r>
        <w:rPr>
          <w:color w:val="000000"/>
          <w:lang w:eastAsia="en-US"/>
        </w:rPr>
        <w:t xml:space="preserve">as of the most recent fiscal </w:t>
      </w:r>
      <w:r w:rsidR="008B078D">
        <w:rPr>
          <w:color w:val="000000"/>
          <w:lang w:eastAsia="en-US"/>
        </w:rPr>
        <w:t>year-end</w:t>
      </w:r>
      <w:r w:rsidRPr="001D6855">
        <w:rPr>
          <w:color w:val="000000"/>
          <w:lang w:eastAsia="en-US"/>
        </w:rPr>
        <w:t xml:space="preserve">. </w:t>
      </w:r>
    </w:p>
    <w:p w:rsidR="00112D27" w:rsidRDefault="00112D27" w:rsidP="00951158">
      <w:pPr>
        <w:ind w:left="144"/>
        <w:rPr>
          <w:color w:val="000000"/>
          <w:lang w:eastAsia="en-US"/>
        </w:rPr>
      </w:pPr>
    </w:p>
    <w:p w:rsidR="00112D27" w:rsidRDefault="00112D27" w:rsidP="00951158">
      <w:pPr>
        <w:ind w:left="144"/>
        <w:rPr>
          <w:color w:val="000000"/>
          <w:lang w:eastAsia="en-US"/>
        </w:rPr>
      </w:pPr>
      <w:r>
        <w:rPr>
          <w:color w:val="000000"/>
          <w:lang w:eastAsia="en-US"/>
        </w:rPr>
        <w:t xml:space="preserve">All three measures are designed to capture credit-related issues the firm is currently facing or might face in the future as a result of loans made. High non-accrual and past due loan balances imply greater uncertainty about future bank performance and more risk of default. Similarly, because banks typically receive OREO as payment when a loan does not repay, higher OREO also signals poor loan performance and potentially higher credit risk. </w:t>
      </w:r>
    </w:p>
    <w:p w:rsidR="00123D02" w:rsidRDefault="00123D02" w:rsidP="00951158">
      <w:pPr>
        <w:ind w:left="144"/>
        <w:rPr>
          <w:color w:val="000000"/>
          <w:lang w:eastAsia="en-US"/>
        </w:rPr>
      </w:pPr>
    </w:p>
    <w:p w:rsidR="00123D02" w:rsidRPr="00455D6C" w:rsidRDefault="00123D02" w:rsidP="00951158">
      <w:pPr>
        <w:ind w:left="144"/>
        <w:rPr>
          <w:i/>
          <w:color w:val="000000"/>
          <w:lang w:eastAsia="en-US"/>
        </w:rPr>
      </w:pPr>
      <w:r>
        <w:rPr>
          <w:i/>
          <w:color w:val="000000"/>
          <w:lang w:eastAsia="en-US"/>
        </w:rPr>
        <w:t>Interest Rate Risk Measure</w:t>
      </w:r>
    </w:p>
    <w:p w:rsidR="00123D02" w:rsidRDefault="00123D02" w:rsidP="00951158">
      <w:pPr>
        <w:ind w:left="144"/>
        <w:rPr>
          <w:color w:val="000000"/>
          <w:lang w:eastAsia="en-US"/>
        </w:rPr>
      </w:pPr>
      <w:proofErr w:type="spellStart"/>
      <w:r w:rsidRPr="001D6855">
        <w:rPr>
          <w:bCs/>
          <w:iCs/>
          <w:color w:val="000000"/>
          <w:lang w:eastAsia="en-US"/>
        </w:rPr>
        <w:t>AbsMaturityGap</w:t>
      </w:r>
      <w:proofErr w:type="spellEnd"/>
      <w:r w:rsidRPr="001D6855">
        <w:rPr>
          <w:color w:val="000000"/>
          <w:lang w:eastAsia="en-US"/>
        </w:rPr>
        <w:t xml:space="preserve"> </w:t>
      </w:r>
      <w:r w:rsidR="00112D27">
        <w:rPr>
          <w:color w:val="000000"/>
          <w:lang w:eastAsia="en-US"/>
        </w:rPr>
        <w:t>=</w:t>
      </w:r>
      <w:r w:rsidRPr="001D6855">
        <w:rPr>
          <w:color w:val="000000"/>
          <w:lang w:eastAsia="en-US"/>
        </w:rPr>
        <w:t xml:space="preserve"> the absolute difference between assets and liabilities that are due to mature or be </w:t>
      </w:r>
      <w:proofErr w:type="spellStart"/>
      <w:r w:rsidRPr="001D6855">
        <w:rPr>
          <w:color w:val="000000"/>
          <w:lang w:eastAsia="en-US"/>
        </w:rPr>
        <w:t>repriced</w:t>
      </w:r>
      <w:proofErr w:type="spellEnd"/>
      <w:r w:rsidRPr="001D6855">
        <w:rPr>
          <w:color w:val="000000"/>
          <w:lang w:eastAsia="en-US"/>
        </w:rPr>
        <w:t xml:space="preserve"> within one year, divided by total assets</w:t>
      </w:r>
      <w:r w:rsidRPr="00932AEB">
        <w:rPr>
          <w:color w:val="000000"/>
          <w:lang w:eastAsia="en-US"/>
        </w:rPr>
        <w:t xml:space="preserve"> </w:t>
      </w:r>
      <w:r>
        <w:rPr>
          <w:color w:val="000000"/>
          <w:lang w:eastAsia="en-US"/>
        </w:rPr>
        <w:t xml:space="preserve">as of the most recent fiscal </w:t>
      </w:r>
      <w:r w:rsidR="008B078D">
        <w:rPr>
          <w:color w:val="000000"/>
          <w:lang w:eastAsia="en-US"/>
        </w:rPr>
        <w:t>year-end</w:t>
      </w:r>
      <w:r w:rsidRPr="001D6855">
        <w:rPr>
          <w:color w:val="000000"/>
          <w:lang w:eastAsia="en-US"/>
        </w:rPr>
        <w:t xml:space="preserve">. </w:t>
      </w:r>
      <w:r w:rsidR="00112D27">
        <w:rPr>
          <w:color w:val="000000"/>
          <w:lang w:eastAsia="en-US"/>
        </w:rPr>
        <w:t>The higher a bank’s maturity gap between assets and liabilities, the more potential that shocks to the bank’s balance sheet will cause further mismatching of assets and liabilities and increase the credit risk of the bank.</w:t>
      </w:r>
    </w:p>
    <w:p w:rsidR="00123D02" w:rsidRDefault="00123D02" w:rsidP="00951158">
      <w:pPr>
        <w:ind w:left="144"/>
        <w:rPr>
          <w:color w:val="000000"/>
          <w:lang w:eastAsia="en-US"/>
        </w:rPr>
      </w:pPr>
    </w:p>
    <w:p w:rsidR="00123D02" w:rsidRPr="00455D6C" w:rsidRDefault="00123D02" w:rsidP="00951158">
      <w:pPr>
        <w:ind w:left="144"/>
        <w:rPr>
          <w:i/>
          <w:color w:val="000000"/>
          <w:lang w:eastAsia="en-US"/>
        </w:rPr>
      </w:pPr>
      <w:r>
        <w:rPr>
          <w:i/>
          <w:color w:val="000000"/>
          <w:lang w:eastAsia="en-US"/>
        </w:rPr>
        <w:t>Profitability Measure</w:t>
      </w:r>
    </w:p>
    <w:p w:rsidR="00123D02" w:rsidRDefault="00123D02" w:rsidP="00951158">
      <w:pPr>
        <w:ind w:left="144"/>
        <w:rPr>
          <w:color w:val="000000"/>
          <w:lang w:eastAsia="en-US"/>
        </w:rPr>
      </w:pPr>
      <w:r w:rsidRPr="001D6855">
        <w:rPr>
          <w:bCs/>
          <w:iCs/>
          <w:color w:val="000000"/>
          <w:lang w:eastAsia="en-US"/>
        </w:rPr>
        <w:t>ROA</w:t>
      </w:r>
      <w:r w:rsidRPr="001D6855">
        <w:rPr>
          <w:color w:val="000000"/>
          <w:lang w:eastAsia="en-US"/>
        </w:rPr>
        <w:t xml:space="preserve"> </w:t>
      </w:r>
      <w:r w:rsidR="00112D27">
        <w:rPr>
          <w:color w:val="000000"/>
          <w:lang w:eastAsia="en-US"/>
        </w:rPr>
        <w:t>=</w:t>
      </w:r>
      <w:r w:rsidRPr="001D6855">
        <w:rPr>
          <w:color w:val="000000"/>
          <w:lang w:eastAsia="en-US"/>
        </w:rPr>
        <w:t xml:space="preserve"> net income divided by total assets</w:t>
      </w:r>
      <w:r w:rsidRPr="00932AEB">
        <w:rPr>
          <w:color w:val="000000"/>
          <w:lang w:eastAsia="en-US"/>
        </w:rPr>
        <w:t xml:space="preserve"> </w:t>
      </w:r>
      <w:r>
        <w:rPr>
          <w:color w:val="000000"/>
          <w:lang w:eastAsia="en-US"/>
        </w:rPr>
        <w:t xml:space="preserve">as of the most recent fiscal </w:t>
      </w:r>
      <w:r w:rsidR="008B078D">
        <w:rPr>
          <w:color w:val="000000"/>
          <w:lang w:eastAsia="en-US"/>
        </w:rPr>
        <w:t>year-end</w:t>
      </w:r>
      <w:r w:rsidRPr="001D6855">
        <w:rPr>
          <w:color w:val="000000"/>
          <w:lang w:eastAsia="en-US"/>
        </w:rPr>
        <w:t>.</w:t>
      </w:r>
      <w:r w:rsidR="00112D27">
        <w:rPr>
          <w:color w:val="000000"/>
          <w:lang w:eastAsia="en-US"/>
        </w:rPr>
        <w:t xml:space="preserve"> The effect of ROA on credit risk is not straightforward. If higher profitability is a signal of more efficient operations, we would expect a negative relation with credit risk. Alternately, higher profitability obtained by higher risk-taking </w:t>
      </w:r>
      <w:r w:rsidR="002C115B">
        <w:rPr>
          <w:color w:val="000000"/>
          <w:lang w:eastAsia="en-US"/>
        </w:rPr>
        <w:t>would result in higher credit risk for those banks.</w:t>
      </w:r>
    </w:p>
    <w:p w:rsidR="002C115B" w:rsidRDefault="002C115B" w:rsidP="00951158">
      <w:pPr>
        <w:ind w:left="144"/>
        <w:rPr>
          <w:color w:val="000000"/>
          <w:lang w:eastAsia="en-US"/>
        </w:rPr>
      </w:pPr>
    </w:p>
    <w:p w:rsidR="002C115B" w:rsidRDefault="002C115B" w:rsidP="00951158">
      <w:pPr>
        <w:ind w:left="144"/>
        <w:rPr>
          <w:color w:val="000000"/>
          <w:lang w:eastAsia="en-US"/>
        </w:rPr>
      </w:pPr>
      <w:r>
        <w:rPr>
          <w:i/>
          <w:color w:val="000000"/>
          <w:lang w:eastAsia="en-US"/>
        </w:rPr>
        <w:t>Bank Size</w:t>
      </w:r>
    </w:p>
    <w:p w:rsidR="002C115B" w:rsidRPr="002C115B" w:rsidRDefault="002C115B" w:rsidP="00951158">
      <w:pPr>
        <w:ind w:left="144"/>
        <w:rPr>
          <w:color w:val="000000"/>
        </w:rPr>
      </w:pPr>
      <w:proofErr w:type="spellStart"/>
      <w:r>
        <w:rPr>
          <w:color w:val="000000"/>
        </w:rPr>
        <w:t>LnAssets</w:t>
      </w:r>
      <w:proofErr w:type="spellEnd"/>
      <w:r>
        <w:rPr>
          <w:color w:val="000000"/>
        </w:rPr>
        <w:t xml:space="preserve"> = the log of total assets of the bank as of the most recent fiscal </w:t>
      </w:r>
      <w:r w:rsidR="008B078D">
        <w:rPr>
          <w:color w:val="000000"/>
        </w:rPr>
        <w:t>year-end</w:t>
      </w:r>
      <w:r>
        <w:rPr>
          <w:color w:val="000000"/>
        </w:rPr>
        <w:t xml:space="preserve">. Larger banks </w:t>
      </w:r>
      <w:r w:rsidR="002E18DD">
        <w:rPr>
          <w:color w:val="000000"/>
        </w:rPr>
        <w:t>might have lower credit risk if they are more diversified or better managed.</w:t>
      </w:r>
      <w:r>
        <w:rPr>
          <w:color w:val="000000"/>
        </w:rPr>
        <w:t xml:space="preserve"> </w:t>
      </w:r>
    </w:p>
    <w:p w:rsidR="00123D02" w:rsidRDefault="00123D02" w:rsidP="00951158">
      <w:pPr>
        <w:ind w:left="144"/>
        <w:rPr>
          <w:color w:val="000000"/>
        </w:rPr>
      </w:pPr>
    </w:p>
    <w:p w:rsidR="00123D02" w:rsidRPr="00C747C4" w:rsidRDefault="008B078D" w:rsidP="00951158">
      <w:pPr>
        <w:ind w:left="144"/>
        <w:rPr>
          <w:i/>
          <w:color w:val="000000"/>
        </w:rPr>
      </w:pPr>
      <w:r>
        <w:rPr>
          <w:i/>
          <w:color w:val="000000"/>
        </w:rPr>
        <w:t xml:space="preserve">Bond </w:t>
      </w:r>
      <w:r w:rsidR="00123D02" w:rsidRPr="00D86C18">
        <w:rPr>
          <w:i/>
          <w:color w:val="000000"/>
        </w:rPr>
        <w:t>Offer Characteristics</w:t>
      </w:r>
    </w:p>
    <w:p w:rsidR="00123D02" w:rsidRDefault="00123D02" w:rsidP="00951158">
      <w:pPr>
        <w:ind w:left="144"/>
        <w:rPr>
          <w:color w:val="000000"/>
        </w:rPr>
      </w:pPr>
      <w:proofErr w:type="spellStart"/>
      <w:r>
        <w:rPr>
          <w:color w:val="000000"/>
        </w:rPr>
        <w:t>Ln_offer_amt</w:t>
      </w:r>
      <w:proofErr w:type="spellEnd"/>
      <w:r w:rsidR="00951158">
        <w:rPr>
          <w:color w:val="000000"/>
        </w:rPr>
        <w:t xml:space="preserve"> </w:t>
      </w:r>
      <w:r>
        <w:rPr>
          <w:color w:val="000000"/>
        </w:rPr>
        <w:t>= the natural log of the offering amount (in thousands) of the issue;</w:t>
      </w:r>
    </w:p>
    <w:p w:rsidR="00123D02" w:rsidRDefault="00123D02" w:rsidP="00951158">
      <w:pPr>
        <w:ind w:left="144"/>
        <w:rPr>
          <w:color w:val="000000"/>
        </w:rPr>
      </w:pPr>
    </w:p>
    <w:p w:rsidR="00123D02" w:rsidRDefault="00123D02" w:rsidP="00951158">
      <w:pPr>
        <w:ind w:left="144"/>
        <w:rPr>
          <w:color w:val="000000"/>
        </w:rPr>
      </w:pPr>
      <w:r>
        <w:rPr>
          <w:color w:val="000000"/>
        </w:rPr>
        <w:t>Shelf = an indicator if the issue is a shelf registration;</w:t>
      </w:r>
    </w:p>
    <w:p w:rsidR="00123D02" w:rsidRDefault="00123D02" w:rsidP="00951158">
      <w:pPr>
        <w:ind w:left="144"/>
        <w:rPr>
          <w:color w:val="000000"/>
        </w:rPr>
      </w:pPr>
    </w:p>
    <w:p w:rsidR="00123D02" w:rsidRDefault="00123D02" w:rsidP="00951158">
      <w:pPr>
        <w:ind w:left="144"/>
        <w:rPr>
          <w:color w:val="000000"/>
        </w:rPr>
      </w:pPr>
      <w:r>
        <w:rPr>
          <w:color w:val="000000"/>
        </w:rPr>
        <w:t>Call = an indicator if the issue is callable on a predetermined schedule;</w:t>
      </w:r>
    </w:p>
    <w:p w:rsidR="00123D02" w:rsidRDefault="00123D02" w:rsidP="00951158">
      <w:pPr>
        <w:ind w:left="144"/>
        <w:rPr>
          <w:color w:val="000000"/>
        </w:rPr>
      </w:pPr>
    </w:p>
    <w:p w:rsidR="00123D02" w:rsidRDefault="00123D02" w:rsidP="00951158">
      <w:pPr>
        <w:ind w:left="144"/>
        <w:rPr>
          <w:color w:val="000000"/>
        </w:rPr>
      </w:pPr>
      <w:r>
        <w:rPr>
          <w:color w:val="000000"/>
        </w:rPr>
        <w:t>Put = an indicator if the issue gives the bondholder the option, but not the obligation, to sell the security back to the issuer under certain circumstances;</w:t>
      </w:r>
    </w:p>
    <w:p w:rsidR="00123D02" w:rsidRDefault="00123D02" w:rsidP="00951158">
      <w:pPr>
        <w:ind w:left="144"/>
        <w:rPr>
          <w:color w:val="000000"/>
        </w:rPr>
      </w:pPr>
    </w:p>
    <w:p w:rsidR="00123D02" w:rsidRDefault="00123D02" w:rsidP="00951158">
      <w:pPr>
        <w:ind w:left="144"/>
        <w:rPr>
          <w:color w:val="000000"/>
        </w:rPr>
      </w:pPr>
      <w:r>
        <w:rPr>
          <w:color w:val="000000"/>
        </w:rPr>
        <w:t>Redeem = an indicator if the bond is redeemable under certain circumstances;</w:t>
      </w:r>
      <w:r w:rsidR="002C115B">
        <w:rPr>
          <w:color w:val="000000"/>
        </w:rPr>
        <w:t xml:space="preserve"> and</w:t>
      </w:r>
    </w:p>
    <w:p w:rsidR="00123D02" w:rsidRDefault="00123D02" w:rsidP="00951158">
      <w:pPr>
        <w:ind w:left="144"/>
        <w:rPr>
          <w:color w:val="000000"/>
        </w:rPr>
      </w:pPr>
    </w:p>
    <w:p w:rsidR="00123D02" w:rsidRDefault="00123D02" w:rsidP="00951158">
      <w:pPr>
        <w:ind w:left="144"/>
        <w:rPr>
          <w:color w:val="000000"/>
        </w:rPr>
      </w:pPr>
      <w:proofErr w:type="spellStart"/>
      <w:r>
        <w:rPr>
          <w:color w:val="000000"/>
        </w:rPr>
        <w:t>YrsToMaturity</w:t>
      </w:r>
      <w:proofErr w:type="spellEnd"/>
      <w:r>
        <w:rPr>
          <w:color w:val="000000"/>
        </w:rPr>
        <w:t xml:space="preserve"> = the number of years remaining to maturity as of the transaction date (either issuance or trading date)</w:t>
      </w:r>
      <w:r w:rsidR="002C115B">
        <w:rPr>
          <w:color w:val="000000"/>
        </w:rPr>
        <w:t>.</w:t>
      </w:r>
    </w:p>
    <w:p w:rsidR="009C25BD" w:rsidRDefault="00123D02" w:rsidP="009353A5">
      <w:pPr>
        <w:autoSpaceDE w:val="0"/>
        <w:autoSpaceDN w:val="0"/>
        <w:adjustRightInd w:val="0"/>
        <w:spacing w:line="480" w:lineRule="auto"/>
        <w:ind w:firstLine="720"/>
      </w:pPr>
      <w:r>
        <w:rPr>
          <w:color w:val="000000"/>
        </w:rPr>
        <w:tab/>
      </w:r>
    </w:p>
    <w:p w:rsidR="00F16C41" w:rsidRPr="009353A5" w:rsidRDefault="009649BD" w:rsidP="009353A5">
      <w:pPr>
        <w:autoSpaceDE w:val="0"/>
        <w:autoSpaceDN w:val="0"/>
        <w:adjustRightInd w:val="0"/>
        <w:spacing w:line="480" w:lineRule="auto"/>
        <w:ind w:firstLine="720"/>
      </w:pPr>
      <w:r>
        <w:t>Our tests examine</w:t>
      </w:r>
      <w:r w:rsidR="002E18DD">
        <w:t xml:space="preserve"> </w:t>
      </w:r>
      <w:r w:rsidR="00820531">
        <w:t xml:space="preserve">the </w:t>
      </w:r>
      <w:r w:rsidR="00820531" w:rsidRPr="00DC1227">
        <w:t>relative association</w:t>
      </w:r>
      <w:r w:rsidR="00F923D4">
        <w:t>s</w:t>
      </w:r>
      <w:r w:rsidR="00820531">
        <w:t xml:space="preserve"> of our leverage measures with credit risk</w:t>
      </w:r>
      <w:r w:rsidR="00646505">
        <w:t xml:space="preserve">. </w:t>
      </w:r>
      <w:r w:rsidR="00931F21">
        <w:t>The univariate analysis simply addresses which leverage measure has the highest correlation</w:t>
      </w:r>
      <w:r w:rsidR="00B2098D">
        <w:t xml:space="preserve"> with credit risk</w:t>
      </w:r>
      <w:r w:rsidR="00AE76FE">
        <w:t>,</w:t>
      </w:r>
      <w:r w:rsidR="00B2098D">
        <w:t xml:space="preserve"> while the multivariate analysis addresses which </w:t>
      </w:r>
      <w:r w:rsidR="005074FA">
        <w:t>set of variables best explain credit risk, a set that includes certain GAAP</w:t>
      </w:r>
      <w:r w:rsidR="0043463B">
        <w:t>-</w:t>
      </w:r>
      <w:r w:rsidR="005074FA">
        <w:t xml:space="preserve">based </w:t>
      </w:r>
      <w:r w:rsidR="003E5BAF">
        <w:t xml:space="preserve">and bond-offer-based </w:t>
      </w:r>
      <w:r w:rsidR="005074FA">
        <w:t xml:space="preserve">control variables and </w:t>
      </w:r>
      <w:r w:rsidR="00951158" w:rsidRPr="00951158">
        <w:rPr>
          <w:b/>
        </w:rPr>
        <w:t>TIER1</w:t>
      </w:r>
      <w:r w:rsidR="00951158">
        <w:t xml:space="preserve">, </w:t>
      </w:r>
      <w:r w:rsidR="00140AB7" w:rsidRPr="00140AB7">
        <w:rPr>
          <w:b/>
        </w:rPr>
        <w:t>GAAP</w:t>
      </w:r>
      <w:r w:rsidR="00AE76FE">
        <w:rPr>
          <w:b/>
        </w:rPr>
        <w:t>,</w:t>
      </w:r>
      <w:r w:rsidR="005074FA">
        <w:t xml:space="preserve"> or </w:t>
      </w:r>
      <w:r w:rsidR="00140AB7" w:rsidRPr="00140AB7">
        <w:rPr>
          <w:b/>
        </w:rPr>
        <w:t>FV</w:t>
      </w:r>
      <w:r w:rsidR="00646505">
        <w:t xml:space="preserve">. </w:t>
      </w:r>
      <w:r w:rsidR="005074FA">
        <w:t>If the regressions</w:t>
      </w:r>
      <w:r w:rsidR="00951158">
        <w:t xml:space="preserve"> </w:t>
      </w:r>
      <w:r w:rsidR="005074FA">
        <w:t xml:space="preserve">with </w:t>
      </w:r>
      <w:r w:rsidR="00140AB7" w:rsidRPr="00140AB7">
        <w:rPr>
          <w:b/>
        </w:rPr>
        <w:t>FV</w:t>
      </w:r>
      <w:r w:rsidR="005074FA">
        <w:t xml:space="preserve"> ha</w:t>
      </w:r>
      <w:r w:rsidR="00951158">
        <w:t>ve the highest</w:t>
      </w:r>
      <w:r w:rsidR="005074FA">
        <w:t xml:space="preserve"> R</w:t>
      </w:r>
      <w:r w:rsidR="005074FA">
        <w:rPr>
          <w:vertAlign w:val="superscript"/>
        </w:rPr>
        <w:t>2</w:t>
      </w:r>
      <w:r w:rsidR="00AE76FE">
        <w:t xml:space="preserve">, </w:t>
      </w:r>
      <w:r w:rsidR="005074FA">
        <w:t xml:space="preserve">then we can conclude that fair value leverage explains credit risk </w:t>
      </w:r>
      <w:r w:rsidR="00951158">
        <w:t>best</w:t>
      </w:r>
      <w:r w:rsidR="005074FA">
        <w:t xml:space="preserve"> </w:t>
      </w:r>
      <w:r w:rsidR="00357D64">
        <w:t xml:space="preserve">with and without controlling for additional </w:t>
      </w:r>
      <w:r w:rsidR="00AF4E84">
        <w:t>relevant financial statement</w:t>
      </w:r>
      <w:r w:rsidR="003E5BAF">
        <w:t xml:space="preserve"> and bond-offer</w:t>
      </w:r>
      <w:r w:rsidR="00AF4E84">
        <w:t xml:space="preserve"> information</w:t>
      </w:r>
      <w:r w:rsidR="005074FA">
        <w:t>.</w:t>
      </w:r>
      <w:r w:rsidR="000067E9">
        <w:rPr>
          <w:rStyle w:val="FootnoteReference"/>
        </w:rPr>
        <w:footnoteReference w:id="21"/>
      </w:r>
    </w:p>
    <w:p w:rsidR="007D7126" w:rsidRDefault="00530B6B" w:rsidP="00D003B9">
      <w:pPr>
        <w:spacing w:line="480" w:lineRule="auto"/>
        <w:ind w:firstLine="720"/>
        <w:rPr>
          <w:color w:val="000000"/>
        </w:rPr>
      </w:pPr>
      <w:r>
        <w:rPr>
          <w:color w:val="000000"/>
        </w:rPr>
        <w:t>The univariate and multivariate results</w:t>
      </w:r>
      <w:r w:rsidR="009649BD">
        <w:rPr>
          <w:color w:val="000000"/>
        </w:rPr>
        <w:t xml:space="preserve"> in Table 2</w:t>
      </w:r>
      <w:r>
        <w:rPr>
          <w:color w:val="000000"/>
        </w:rPr>
        <w:t xml:space="preserve"> are similar</w:t>
      </w:r>
      <w:r w:rsidR="00646505">
        <w:rPr>
          <w:color w:val="000000"/>
        </w:rPr>
        <w:t xml:space="preserve">. </w:t>
      </w:r>
      <w:r w:rsidR="005E1190">
        <w:rPr>
          <w:color w:val="000000"/>
        </w:rPr>
        <w:t xml:space="preserve">The </w:t>
      </w:r>
      <w:r w:rsidR="006E22FC">
        <w:rPr>
          <w:color w:val="000000"/>
        </w:rPr>
        <w:t xml:space="preserve">descending order of the </w:t>
      </w:r>
      <w:r w:rsidR="004E75A9">
        <w:rPr>
          <w:color w:val="000000"/>
        </w:rPr>
        <w:t>explanatory power</w:t>
      </w:r>
      <w:r w:rsidR="00A452C3">
        <w:rPr>
          <w:color w:val="000000"/>
        </w:rPr>
        <w:t xml:space="preserve"> </w:t>
      </w:r>
      <w:r w:rsidR="004E75A9">
        <w:rPr>
          <w:color w:val="000000"/>
        </w:rPr>
        <w:t xml:space="preserve">of each of the </w:t>
      </w:r>
      <w:r w:rsidR="00AD2E1D">
        <w:rPr>
          <w:color w:val="000000"/>
        </w:rPr>
        <w:t>three</w:t>
      </w:r>
      <w:r w:rsidR="006E68D1">
        <w:rPr>
          <w:color w:val="000000"/>
        </w:rPr>
        <w:t xml:space="preserve"> models</w:t>
      </w:r>
      <w:r w:rsidR="00A452C3">
        <w:rPr>
          <w:color w:val="000000"/>
        </w:rPr>
        <w:t xml:space="preserve">, as evidenced by the adjusted </w:t>
      </w:r>
      <w:r w:rsidR="00A452C3">
        <w:t>R</w:t>
      </w:r>
      <w:r w:rsidR="00A452C3">
        <w:rPr>
          <w:vertAlign w:val="superscript"/>
        </w:rPr>
        <w:t>2</w:t>
      </w:r>
      <w:r w:rsidR="00A452C3">
        <w:t>s,</w:t>
      </w:r>
      <w:r w:rsidR="00A452C3">
        <w:rPr>
          <w:color w:val="000000"/>
        </w:rPr>
        <w:t xml:space="preserve"> </w:t>
      </w:r>
      <w:r w:rsidR="005E1190">
        <w:rPr>
          <w:color w:val="000000"/>
        </w:rPr>
        <w:t xml:space="preserve">is the following: </w:t>
      </w:r>
      <w:r w:rsidR="005E1190" w:rsidRPr="00530B6B">
        <w:rPr>
          <w:b/>
          <w:color w:val="000000"/>
        </w:rPr>
        <w:t>FV</w:t>
      </w:r>
      <w:r w:rsidR="005E1190">
        <w:rPr>
          <w:color w:val="000000"/>
        </w:rPr>
        <w:t xml:space="preserve">, </w:t>
      </w:r>
      <w:r w:rsidR="005E1190" w:rsidRPr="00530B6B">
        <w:rPr>
          <w:b/>
          <w:color w:val="000000"/>
        </w:rPr>
        <w:t>GAAP</w:t>
      </w:r>
      <w:r w:rsidR="005E1190">
        <w:rPr>
          <w:color w:val="000000"/>
        </w:rPr>
        <w:t xml:space="preserve">, and </w:t>
      </w:r>
      <w:r w:rsidR="005E1190" w:rsidRPr="00530B6B">
        <w:rPr>
          <w:b/>
          <w:color w:val="000000"/>
        </w:rPr>
        <w:t>TIER1</w:t>
      </w:r>
      <w:r w:rsidR="006E22FC">
        <w:rPr>
          <w:color w:val="000000"/>
        </w:rPr>
        <w:t>.</w:t>
      </w:r>
      <w:r w:rsidR="00014802">
        <w:rPr>
          <w:rStyle w:val="FootnoteReference"/>
          <w:color w:val="000000"/>
        </w:rPr>
        <w:footnoteReference w:id="22"/>
      </w:r>
      <w:r w:rsidR="006E22FC">
        <w:rPr>
          <w:color w:val="000000"/>
        </w:rPr>
        <w:t xml:space="preserve">  </w:t>
      </w:r>
      <w:r>
        <w:rPr>
          <w:color w:val="000000"/>
        </w:rPr>
        <w:t>The</w:t>
      </w:r>
      <w:r w:rsidR="00FA63C7">
        <w:rPr>
          <w:color w:val="000000"/>
        </w:rPr>
        <w:t xml:space="preserve"> </w:t>
      </w:r>
      <w:r>
        <w:rPr>
          <w:color w:val="000000"/>
        </w:rPr>
        <w:t xml:space="preserve">coefficient on each leverage measure is significantly positive </w:t>
      </w:r>
      <w:r w:rsidR="00FA63C7">
        <w:rPr>
          <w:color w:val="000000"/>
        </w:rPr>
        <w:lastRenderedPageBreak/>
        <w:t xml:space="preserve">except </w:t>
      </w:r>
      <w:r w:rsidR="006E68D1">
        <w:rPr>
          <w:color w:val="000000"/>
        </w:rPr>
        <w:t xml:space="preserve">that </w:t>
      </w:r>
      <w:r w:rsidR="00A452C3">
        <w:rPr>
          <w:color w:val="000000"/>
        </w:rPr>
        <w:t xml:space="preserve">the coefficient on </w:t>
      </w:r>
      <w:r w:rsidR="00FA63C7" w:rsidRPr="00530B6B">
        <w:rPr>
          <w:b/>
          <w:color w:val="000000"/>
        </w:rPr>
        <w:t>TIER1</w:t>
      </w:r>
      <w:r w:rsidR="00A452C3">
        <w:rPr>
          <w:b/>
          <w:color w:val="000000"/>
        </w:rPr>
        <w:t xml:space="preserve"> </w:t>
      </w:r>
      <w:r w:rsidR="00FA63C7">
        <w:rPr>
          <w:color w:val="000000"/>
        </w:rPr>
        <w:t xml:space="preserve">is </w:t>
      </w:r>
      <w:r w:rsidR="00A452C3">
        <w:rPr>
          <w:color w:val="000000"/>
        </w:rPr>
        <w:t xml:space="preserve">surprisingly </w:t>
      </w:r>
      <w:r w:rsidR="00FA63C7">
        <w:rPr>
          <w:color w:val="000000"/>
        </w:rPr>
        <w:t xml:space="preserve">significantly </w:t>
      </w:r>
      <w:r w:rsidR="00FA63C7" w:rsidRPr="00F7340A">
        <w:rPr>
          <w:i/>
          <w:color w:val="000000"/>
        </w:rPr>
        <w:t>negative</w:t>
      </w:r>
      <w:r w:rsidR="00FA63C7">
        <w:rPr>
          <w:color w:val="000000"/>
        </w:rPr>
        <w:t>.</w:t>
      </w:r>
      <w:r w:rsidR="00A708AD">
        <w:rPr>
          <w:rStyle w:val="FootnoteReference"/>
          <w:color w:val="000000"/>
        </w:rPr>
        <w:footnoteReference w:id="23"/>
      </w:r>
      <w:r w:rsidR="00FA63C7">
        <w:rPr>
          <w:color w:val="000000"/>
        </w:rPr>
        <w:t xml:space="preserve">  </w:t>
      </w:r>
      <w:r w:rsidR="00884B97">
        <w:rPr>
          <w:color w:val="000000"/>
        </w:rPr>
        <w:t>As noted in panels B and D</w:t>
      </w:r>
      <w:r w:rsidR="009649BD">
        <w:rPr>
          <w:color w:val="000000"/>
        </w:rPr>
        <w:t xml:space="preserve"> in Table 2</w:t>
      </w:r>
      <w:r w:rsidR="00884B97">
        <w:rPr>
          <w:color w:val="000000"/>
        </w:rPr>
        <w:t xml:space="preserve">, the explanatory power of </w:t>
      </w:r>
      <w:r w:rsidR="00A452C3">
        <w:rPr>
          <w:color w:val="000000"/>
        </w:rPr>
        <w:t xml:space="preserve">both </w:t>
      </w:r>
      <w:r w:rsidR="00884B97">
        <w:rPr>
          <w:color w:val="000000"/>
        </w:rPr>
        <w:t>model</w:t>
      </w:r>
      <w:r w:rsidR="00A452C3">
        <w:rPr>
          <w:color w:val="000000"/>
        </w:rPr>
        <w:t>s</w:t>
      </w:r>
      <w:r w:rsidR="00884B97">
        <w:rPr>
          <w:color w:val="000000"/>
        </w:rPr>
        <w:t xml:space="preserve"> with </w:t>
      </w:r>
      <w:r w:rsidR="00884B97" w:rsidRPr="00A452C3">
        <w:rPr>
          <w:b/>
          <w:color w:val="000000"/>
        </w:rPr>
        <w:t>FV</w:t>
      </w:r>
      <w:r w:rsidR="00884B97">
        <w:rPr>
          <w:color w:val="000000"/>
        </w:rPr>
        <w:t xml:space="preserve"> </w:t>
      </w:r>
      <w:r w:rsidR="00AE76FE">
        <w:rPr>
          <w:color w:val="000000"/>
        </w:rPr>
        <w:t>is</w:t>
      </w:r>
      <w:r w:rsidR="00884B97">
        <w:rPr>
          <w:color w:val="000000"/>
        </w:rPr>
        <w:t xml:space="preserve"> significantly greater than that </w:t>
      </w:r>
      <w:r w:rsidR="00A452C3">
        <w:rPr>
          <w:color w:val="000000"/>
        </w:rPr>
        <w:t xml:space="preserve">with </w:t>
      </w:r>
      <w:r w:rsidR="00884B97" w:rsidRPr="00A452C3">
        <w:rPr>
          <w:b/>
          <w:color w:val="000000"/>
        </w:rPr>
        <w:t>GAAP</w:t>
      </w:r>
      <w:r w:rsidR="00884B97">
        <w:rPr>
          <w:color w:val="000000"/>
        </w:rPr>
        <w:t xml:space="preserve">, which </w:t>
      </w:r>
      <w:r w:rsidR="00AE76FE">
        <w:rPr>
          <w:color w:val="000000"/>
        </w:rPr>
        <w:t>is</w:t>
      </w:r>
      <w:r w:rsidR="00884B97">
        <w:rPr>
          <w:color w:val="000000"/>
        </w:rPr>
        <w:t xml:space="preserve"> significantly greater than that </w:t>
      </w:r>
      <w:r w:rsidR="00A452C3">
        <w:rPr>
          <w:color w:val="000000"/>
        </w:rPr>
        <w:t>with</w:t>
      </w:r>
      <w:r w:rsidR="00884B97">
        <w:rPr>
          <w:color w:val="000000"/>
        </w:rPr>
        <w:t xml:space="preserve"> </w:t>
      </w:r>
      <w:r w:rsidR="00884B97" w:rsidRPr="00A452C3">
        <w:rPr>
          <w:b/>
          <w:color w:val="000000"/>
        </w:rPr>
        <w:t>TIER1</w:t>
      </w:r>
      <w:r w:rsidR="00646505">
        <w:rPr>
          <w:color w:val="000000"/>
        </w:rPr>
        <w:t xml:space="preserve">. </w:t>
      </w:r>
      <w:r w:rsidR="00A452C3">
        <w:rPr>
          <w:color w:val="000000"/>
        </w:rPr>
        <w:t xml:space="preserve">To help put the differences in the adjusted </w:t>
      </w:r>
      <w:r w:rsidR="00A452C3">
        <w:t>R</w:t>
      </w:r>
      <w:r w:rsidR="00A452C3">
        <w:rPr>
          <w:vertAlign w:val="superscript"/>
        </w:rPr>
        <w:t>2</w:t>
      </w:r>
      <w:r w:rsidR="00A452C3">
        <w:t>s</w:t>
      </w:r>
      <w:r w:rsidR="00A452C3">
        <w:rPr>
          <w:color w:val="000000"/>
        </w:rPr>
        <w:t xml:space="preserve"> into perspective</w:t>
      </w:r>
      <w:r w:rsidR="00F421EE">
        <w:rPr>
          <w:color w:val="000000"/>
        </w:rPr>
        <w:t>,</w:t>
      </w:r>
      <w:r w:rsidR="00A452C3">
        <w:rPr>
          <w:color w:val="000000"/>
        </w:rPr>
        <w:t xml:space="preserve"> we also estimate Pearson</w:t>
      </w:r>
      <w:r w:rsidR="0066577A">
        <w:rPr>
          <w:color w:val="000000"/>
        </w:rPr>
        <w:t xml:space="preserve"> and Spearman</w:t>
      </w:r>
      <w:r w:rsidR="00A452C3">
        <w:rPr>
          <w:color w:val="000000"/>
        </w:rPr>
        <w:t xml:space="preserve"> </w:t>
      </w:r>
      <w:r w:rsidR="00594B47">
        <w:rPr>
          <w:color w:val="000000"/>
        </w:rPr>
        <w:t xml:space="preserve">correlations </w:t>
      </w:r>
      <w:r w:rsidR="00A452C3">
        <w:rPr>
          <w:color w:val="000000"/>
        </w:rPr>
        <w:t xml:space="preserve">across each of the </w:t>
      </w:r>
      <w:r w:rsidR="008F0072">
        <w:rPr>
          <w:color w:val="000000"/>
        </w:rPr>
        <w:t>three</w:t>
      </w:r>
      <w:r w:rsidR="00A452C3">
        <w:rPr>
          <w:color w:val="000000"/>
        </w:rPr>
        <w:t xml:space="preserve"> leverage rat</w:t>
      </w:r>
      <w:r w:rsidR="009649BD">
        <w:rPr>
          <w:color w:val="000000"/>
        </w:rPr>
        <w:t>ios and bond yields</w:t>
      </w:r>
      <w:r w:rsidR="00646505">
        <w:rPr>
          <w:color w:val="000000"/>
        </w:rPr>
        <w:t xml:space="preserve">. </w:t>
      </w:r>
      <w:r w:rsidR="009649BD">
        <w:rPr>
          <w:color w:val="000000"/>
        </w:rPr>
        <w:t>Untabulated results show</w:t>
      </w:r>
      <w:r w:rsidR="00A452C3">
        <w:rPr>
          <w:color w:val="000000"/>
        </w:rPr>
        <w:t xml:space="preserve"> the</w:t>
      </w:r>
      <w:r w:rsidR="009649BD">
        <w:rPr>
          <w:color w:val="000000"/>
        </w:rPr>
        <w:t xml:space="preserve"> following</w:t>
      </w:r>
      <w:r w:rsidR="00A452C3">
        <w:rPr>
          <w:color w:val="000000"/>
        </w:rPr>
        <w:t xml:space="preserve"> Pearson</w:t>
      </w:r>
      <w:r w:rsidR="0066577A">
        <w:rPr>
          <w:color w:val="000000"/>
        </w:rPr>
        <w:t xml:space="preserve"> (Spearman)</w:t>
      </w:r>
      <w:r w:rsidR="00A452C3">
        <w:rPr>
          <w:color w:val="000000"/>
        </w:rPr>
        <w:t xml:space="preserve"> </w:t>
      </w:r>
      <w:r w:rsidR="00594B47">
        <w:rPr>
          <w:color w:val="000000"/>
        </w:rPr>
        <w:t>correlation</w:t>
      </w:r>
      <w:r w:rsidR="009649BD">
        <w:rPr>
          <w:color w:val="000000"/>
        </w:rPr>
        <w:t>s</w:t>
      </w:r>
      <w:r w:rsidR="00594B47">
        <w:rPr>
          <w:color w:val="000000"/>
        </w:rPr>
        <w:t xml:space="preserve"> </w:t>
      </w:r>
      <w:r w:rsidR="00A452C3">
        <w:rPr>
          <w:color w:val="000000"/>
        </w:rPr>
        <w:t>between bond yields an</w:t>
      </w:r>
      <w:r w:rsidR="009649BD">
        <w:rPr>
          <w:color w:val="000000"/>
        </w:rPr>
        <w:t>d each of the leverage measures</w:t>
      </w:r>
      <w:r w:rsidR="00A452C3">
        <w:rPr>
          <w:color w:val="000000"/>
        </w:rPr>
        <w:t>: 1) 0.</w:t>
      </w:r>
      <w:r w:rsidR="00A41B99">
        <w:rPr>
          <w:color w:val="000000"/>
        </w:rPr>
        <w:t>5619</w:t>
      </w:r>
      <w:r w:rsidR="0066577A">
        <w:rPr>
          <w:color w:val="000000"/>
        </w:rPr>
        <w:t xml:space="preserve"> (0.5895)</w:t>
      </w:r>
      <w:r w:rsidR="00A41B99">
        <w:rPr>
          <w:color w:val="000000"/>
        </w:rPr>
        <w:t xml:space="preserve"> </w:t>
      </w:r>
      <w:r w:rsidR="00A452C3">
        <w:rPr>
          <w:color w:val="000000"/>
        </w:rPr>
        <w:t xml:space="preserve">for </w:t>
      </w:r>
      <w:r w:rsidR="00A452C3" w:rsidRPr="00A452C3">
        <w:rPr>
          <w:b/>
          <w:color w:val="000000"/>
        </w:rPr>
        <w:t>FV</w:t>
      </w:r>
      <w:r w:rsidR="00FF26A2" w:rsidRPr="002C65FE">
        <w:rPr>
          <w:color w:val="000000"/>
        </w:rPr>
        <w:t>;</w:t>
      </w:r>
      <w:r w:rsidR="00A452C3" w:rsidRPr="00AE76FE">
        <w:rPr>
          <w:color w:val="000000"/>
        </w:rPr>
        <w:t xml:space="preserve"> </w:t>
      </w:r>
      <w:r w:rsidR="00A452C3">
        <w:rPr>
          <w:color w:val="000000"/>
        </w:rPr>
        <w:t>2) 0.431</w:t>
      </w:r>
      <w:r w:rsidR="00A41B99">
        <w:rPr>
          <w:color w:val="000000"/>
        </w:rPr>
        <w:t>4</w:t>
      </w:r>
      <w:r w:rsidR="0066577A">
        <w:rPr>
          <w:color w:val="000000"/>
        </w:rPr>
        <w:t xml:space="preserve"> (0.4597)</w:t>
      </w:r>
      <w:r w:rsidR="00A452C3">
        <w:rPr>
          <w:color w:val="000000"/>
        </w:rPr>
        <w:t xml:space="preserve"> for </w:t>
      </w:r>
      <w:r w:rsidR="00A452C3" w:rsidRPr="00A452C3">
        <w:rPr>
          <w:b/>
          <w:color w:val="000000"/>
        </w:rPr>
        <w:t>GAAP</w:t>
      </w:r>
      <w:r w:rsidR="008F0072">
        <w:rPr>
          <w:color w:val="000000"/>
        </w:rPr>
        <w:t>; and 3</w:t>
      </w:r>
      <w:r w:rsidR="00A452C3">
        <w:rPr>
          <w:color w:val="000000"/>
        </w:rPr>
        <w:t>) -0.</w:t>
      </w:r>
      <w:r w:rsidR="00A41B99">
        <w:rPr>
          <w:color w:val="000000"/>
        </w:rPr>
        <w:t>1154</w:t>
      </w:r>
      <w:r w:rsidR="0066577A">
        <w:rPr>
          <w:color w:val="000000"/>
        </w:rPr>
        <w:t xml:space="preserve"> (-0.1419)</w:t>
      </w:r>
      <w:r w:rsidR="00A41B99">
        <w:rPr>
          <w:color w:val="000000"/>
        </w:rPr>
        <w:t xml:space="preserve"> </w:t>
      </w:r>
      <w:r w:rsidR="00A452C3">
        <w:rPr>
          <w:color w:val="000000"/>
        </w:rPr>
        <w:t xml:space="preserve">for </w:t>
      </w:r>
      <w:r w:rsidR="00A452C3" w:rsidRPr="00A452C3">
        <w:rPr>
          <w:b/>
          <w:color w:val="000000"/>
        </w:rPr>
        <w:t>TIER1</w:t>
      </w:r>
      <w:r w:rsidR="00646505">
        <w:rPr>
          <w:color w:val="000000"/>
        </w:rPr>
        <w:t xml:space="preserve">. </w:t>
      </w:r>
      <w:r w:rsidR="00A452C3">
        <w:rPr>
          <w:color w:val="000000"/>
        </w:rPr>
        <w:t xml:space="preserve">This demonstrates that </w:t>
      </w:r>
      <w:r w:rsidR="00A452C3" w:rsidRPr="00A452C3">
        <w:rPr>
          <w:b/>
          <w:color w:val="000000"/>
        </w:rPr>
        <w:t>FV</w:t>
      </w:r>
      <w:r w:rsidR="00A452C3">
        <w:rPr>
          <w:color w:val="000000"/>
        </w:rPr>
        <w:t xml:space="preserve"> can explain </w:t>
      </w:r>
      <w:r w:rsidR="002C65FE">
        <w:rPr>
          <w:color w:val="000000"/>
        </w:rPr>
        <w:t xml:space="preserve">more than </w:t>
      </w:r>
      <w:r w:rsidR="00A452C3">
        <w:rPr>
          <w:color w:val="000000"/>
        </w:rPr>
        <w:t>25</w:t>
      </w:r>
      <w:r w:rsidR="007924A6">
        <w:rPr>
          <w:color w:val="000000"/>
        </w:rPr>
        <w:t xml:space="preserve"> percent</w:t>
      </w:r>
      <w:r w:rsidR="00A452C3">
        <w:rPr>
          <w:color w:val="000000"/>
        </w:rPr>
        <w:t xml:space="preserve"> more of the variation in bond yield spreads than </w:t>
      </w:r>
      <w:r w:rsidR="00A452C3" w:rsidRPr="00A452C3">
        <w:rPr>
          <w:b/>
          <w:color w:val="000000"/>
        </w:rPr>
        <w:t>GAAP</w:t>
      </w:r>
      <w:r w:rsidR="00A452C3">
        <w:rPr>
          <w:color w:val="000000"/>
        </w:rPr>
        <w:t>.</w:t>
      </w:r>
      <w:r w:rsidR="003566BE">
        <w:rPr>
          <w:rStyle w:val="FootnoteReference"/>
          <w:color w:val="000000"/>
        </w:rPr>
        <w:footnoteReference w:id="24"/>
      </w:r>
      <w:r w:rsidR="009001C1">
        <w:rPr>
          <w:color w:val="000000"/>
        </w:rPr>
        <w:t xml:space="preserve"> </w:t>
      </w:r>
    </w:p>
    <w:p w:rsidR="005F1DEF" w:rsidRDefault="00736D42" w:rsidP="005F1DEF">
      <w:pPr>
        <w:spacing w:line="480" w:lineRule="auto"/>
        <w:ind w:firstLine="720"/>
        <w:rPr>
          <w:color w:val="000000"/>
        </w:rPr>
      </w:pPr>
      <w:r>
        <w:rPr>
          <w:color w:val="000000"/>
        </w:rPr>
        <w:t>Overall our results on bond yield spreads demonstrate that the association between bank</w:t>
      </w:r>
      <w:r w:rsidR="00455D6C">
        <w:rPr>
          <w:color w:val="000000"/>
        </w:rPr>
        <w:t>-</w:t>
      </w:r>
      <w:r>
        <w:rPr>
          <w:color w:val="000000"/>
        </w:rPr>
        <w:t xml:space="preserve">specific credit risk and leverage </w:t>
      </w:r>
      <w:r w:rsidR="00442123">
        <w:rPr>
          <w:color w:val="000000"/>
        </w:rPr>
        <w:t xml:space="preserve">monotonically </w:t>
      </w:r>
      <w:r>
        <w:rPr>
          <w:color w:val="000000"/>
        </w:rPr>
        <w:t xml:space="preserve">increases </w:t>
      </w:r>
      <w:r w:rsidR="008F0380">
        <w:rPr>
          <w:color w:val="000000"/>
        </w:rPr>
        <w:t xml:space="preserve">across </w:t>
      </w:r>
      <w:r w:rsidR="009001C1">
        <w:rPr>
          <w:color w:val="000000"/>
        </w:rPr>
        <w:t xml:space="preserve">our </w:t>
      </w:r>
      <w:r w:rsidR="00971DB0">
        <w:rPr>
          <w:color w:val="000000"/>
        </w:rPr>
        <w:t>three</w:t>
      </w:r>
      <w:r w:rsidR="008F0380">
        <w:rPr>
          <w:color w:val="000000"/>
        </w:rPr>
        <w:t xml:space="preserve"> measures of leverage</w:t>
      </w:r>
      <w:r w:rsidR="009649BD">
        <w:rPr>
          <w:color w:val="000000"/>
        </w:rPr>
        <w:t>,</w:t>
      </w:r>
      <w:r w:rsidR="008F0380">
        <w:rPr>
          <w:color w:val="000000"/>
        </w:rPr>
        <w:t xml:space="preserve"> </w:t>
      </w:r>
      <w:r>
        <w:rPr>
          <w:color w:val="000000"/>
        </w:rPr>
        <w:t xml:space="preserve">i.e., the association is increasing </w:t>
      </w:r>
      <w:r w:rsidR="00D003B9">
        <w:rPr>
          <w:color w:val="000000"/>
        </w:rPr>
        <w:t>as the amount of financial instruments measured at fair value</w:t>
      </w:r>
      <w:r w:rsidR="009001C1">
        <w:rPr>
          <w:color w:val="000000"/>
        </w:rPr>
        <w:t xml:space="preserve"> </w:t>
      </w:r>
      <w:r w:rsidR="00877A25">
        <w:rPr>
          <w:color w:val="000000"/>
        </w:rPr>
        <w:t xml:space="preserve">increases </w:t>
      </w:r>
      <w:r w:rsidR="009001C1">
        <w:rPr>
          <w:color w:val="000000"/>
        </w:rPr>
        <w:t xml:space="preserve">starting at </w:t>
      </w:r>
      <w:r w:rsidR="009001C1" w:rsidRPr="009001C1">
        <w:rPr>
          <w:b/>
          <w:color w:val="000000"/>
        </w:rPr>
        <w:t>TIER1</w:t>
      </w:r>
      <w:r w:rsidR="009001C1">
        <w:rPr>
          <w:color w:val="000000"/>
        </w:rPr>
        <w:t xml:space="preserve"> up to </w:t>
      </w:r>
      <w:r w:rsidR="009001C1" w:rsidRPr="009001C1">
        <w:rPr>
          <w:b/>
          <w:color w:val="000000"/>
        </w:rPr>
        <w:t>FV</w:t>
      </w:r>
      <w:r w:rsidR="00646505">
        <w:rPr>
          <w:color w:val="000000"/>
        </w:rPr>
        <w:t xml:space="preserve">. </w:t>
      </w:r>
      <w:r w:rsidR="00373A05" w:rsidRPr="00373A05">
        <w:rPr>
          <w:b/>
          <w:color w:val="000000"/>
        </w:rPr>
        <w:t>FV</w:t>
      </w:r>
      <w:r w:rsidR="00373A05">
        <w:rPr>
          <w:color w:val="000000"/>
        </w:rPr>
        <w:t xml:space="preserve"> dominat</w:t>
      </w:r>
      <w:r w:rsidR="00951158">
        <w:rPr>
          <w:color w:val="000000"/>
        </w:rPr>
        <w:t>es</w:t>
      </w:r>
      <w:r w:rsidR="00373A05">
        <w:rPr>
          <w:color w:val="000000"/>
        </w:rPr>
        <w:t xml:space="preserve"> </w:t>
      </w:r>
      <w:r w:rsidR="00373A05" w:rsidRPr="00373A05">
        <w:rPr>
          <w:b/>
          <w:color w:val="000000"/>
        </w:rPr>
        <w:t>GAAP</w:t>
      </w:r>
      <w:r w:rsidR="00FF26A2" w:rsidRPr="002C65FE">
        <w:rPr>
          <w:color w:val="000000"/>
        </w:rPr>
        <w:t>,</w:t>
      </w:r>
      <w:r w:rsidR="00373A05">
        <w:rPr>
          <w:color w:val="000000"/>
        </w:rPr>
        <w:t xml:space="preserve"> suggest</w:t>
      </w:r>
      <w:r w:rsidR="00951158">
        <w:rPr>
          <w:color w:val="000000"/>
        </w:rPr>
        <w:t>ing</w:t>
      </w:r>
      <w:r w:rsidR="00373A05">
        <w:rPr>
          <w:color w:val="000000"/>
        </w:rPr>
        <w:t xml:space="preserve"> that recognizing </w:t>
      </w:r>
      <w:r w:rsidR="00AF4E84">
        <w:rPr>
          <w:color w:val="000000"/>
        </w:rPr>
        <w:t xml:space="preserve">all </w:t>
      </w:r>
      <w:r w:rsidR="005F1DEF">
        <w:rPr>
          <w:color w:val="000000"/>
        </w:rPr>
        <w:t xml:space="preserve">financial instruments </w:t>
      </w:r>
      <w:r w:rsidR="00373A05">
        <w:rPr>
          <w:color w:val="000000"/>
        </w:rPr>
        <w:t>at fair value</w:t>
      </w:r>
      <w:r w:rsidR="00B468CC">
        <w:rPr>
          <w:color w:val="000000"/>
        </w:rPr>
        <w:t xml:space="preserve"> </w:t>
      </w:r>
      <w:r w:rsidR="00373A05">
        <w:rPr>
          <w:color w:val="000000"/>
        </w:rPr>
        <w:t>is important</w:t>
      </w:r>
      <w:r w:rsidR="005E2029">
        <w:rPr>
          <w:color w:val="000000"/>
        </w:rPr>
        <w:t xml:space="preserve"> in explaining credit risk</w:t>
      </w:r>
      <w:r w:rsidR="00901139">
        <w:rPr>
          <w:color w:val="000000"/>
        </w:rPr>
        <w:t>,</w:t>
      </w:r>
      <w:r w:rsidR="0017244F">
        <w:rPr>
          <w:color w:val="000000"/>
        </w:rPr>
        <w:t xml:space="preserve"> and</w:t>
      </w:r>
      <w:r w:rsidR="003E5BAF">
        <w:rPr>
          <w:color w:val="000000"/>
        </w:rPr>
        <w:t xml:space="preserve"> that fair value </w:t>
      </w:r>
      <w:r w:rsidR="003E5BAF">
        <w:rPr>
          <w:color w:val="000000"/>
        </w:rPr>
        <w:lastRenderedPageBreak/>
        <w:t>measures of credit risk</w:t>
      </w:r>
      <w:r w:rsidR="0017244F">
        <w:rPr>
          <w:color w:val="000000"/>
        </w:rPr>
        <w:t xml:space="preserve"> appear to dominate managements’ estimates of net realizable values for financial instruments</w:t>
      </w:r>
      <w:r w:rsidR="00373A05">
        <w:rPr>
          <w:color w:val="000000"/>
        </w:rPr>
        <w:t>.</w:t>
      </w:r>
      <w:r w:rsidR="00284170">
        <w:rPr>
          <w:rStyle w:val="FootnoteReference"/>
          <w:color w:val="000000"/>
        </w:rPr>
        <w:footnoteReference w:id="25"/>
      </w:r>
      <w:r w:rsidR="00373A05">
        <w:rPr>
          <w:color w:val="000000"/>
        </w:rPr>
        <w:t xml:space="preserve"> </w:t>
      </w:r>
    </w:p>
    <w:p w:rsidR="00EE2B06" w:rsidRDefault="007B545B" w:rsidP="007B545B">
      <w:pPr>
        <w:spacing w:line="480" w:lineRule="auto"/>
        <w:ind w:firstLine="720"/>
        <w:rPr>
          <w:color w:val="000000"/>
        </w:rPr>
      </w:pPr>
      <w:r>
        <w:rPr>
          <w:color w:val="000000"/>
        </w:rPr>
        <w:t>T</w:t>
      </w:r>
      <w:r w:rsidR="002E18DD">
        <w:rPr>
          <w:color w:val="000000"/>
        </w:rPr>
        <w:t xml:space="preserve">o </w:t>
      </w:r>
      <w:r w:rsidR="00FA718E">
        <w:rPr>
          <w:color w:val="000000"/>
        </w:rPr>
        <w:t>gain further insight into the relation between fair value</w:t>
      </w:r>
      <w:r w:rsidR="00951158">
        <w:rPr>
          <w:color w:val="000000"/>
        </w:rPr>
        <w:t>s</w:t>
      </w:r>
      <w:r w:rsidR="00FA718E">
        <w:rPr>
          <w:color w:val="000000"/>
        </w:rPr>
        <w:t xml:space="preserve"> and bond yield spreads</w:t>
      </w:r>
      <w:r>
        <w:rPr>
          <w:color w:val="000000"/>
        </w:rPr>
        <w:t>,</w:t>
      </w:r>
      <w:r w:rsidR="00454CD7">
        <w:rPr>
          <w:color w:val="000000"/>
        </w:rPr>
        <w:t xml:space="preserve"> </w:t>
      </w:r>
      <w:r>
        <w:rPr>
          <w:color w:val="000000"/>
        </w:rPr>
        <w:t xml:space="preserve">we separate banks’ financial instruments into categories and investigate which categories drive the dominance of </w:t>
      </w:r>
      <w:r w:rsidR="005D1F86" w:rsidRPr="00A84B1D">
        <w:rPr>
          <w:b/>
          <w:color w:val="000000"/>
        </w:rPr>
        <w:t>FV</w:t>
      </w:r>
      <w:r>
        <w:rPr>
          <w:color w:val="000000"/>
        </w:rPr>
        <w:t xml:space="preserve">. To do so, </w:t>
      </w:r>
      <w:r w:rsidR="005F1DEF">
        <w:rPr>
          <w:color w:val="000000"/>
        </w:rPr>
        <w:t xml:space="preserve">we </w:t>
      </w:r>
      <w:r w:rsidR="00951158">
        <w:rPr>
          <w:color w:val="000000"/>
        </w:rPr>
        <w:t>form</w:t>
      </w:r>
      <w:r w:rsidR="005F1DEF">
        <w:rPr>
          <w:color w:val="000000"/>
        </w:rPr>
        <w:t xml:space="preserve"> a subsample of the 28 bank holding companies for which SNL provides detailed fair value information by financial instrument category</w:t>
      </w:r>
      <w:r w:rsidR="00646505">
        <w:rPr>
          <w:color w:val="000000"/>
        </w:rPr>
        <w:t xml:space="preserve">. </w:t>
      </w:r>
      <w:r w:rsidR="000616F4">
        <w:rPr>
          <w:color w:val="000000"/>
        </w:rPr>
        <w:t>We create five new leverage ratios</w:t>
      </w:r>
      <w:r w:rsidR="00646505">
        <w:rPr>
          <w:color w:val="000000"/>
        </w:rPr>
        <w:t xml:space="preserve">. </w:t>
      </w:r>
      <w:r w:rsidR="000616F4">
        <w:rPr>
          <w:color w:val="000000"/>
        </w:rPr>
        <w:t>In the first</w:t>
      </w:r>
      <w:r w:rsidR="00EE2B06">
        <w:rPr>
          <w:color w:val="000000"/>
        </w:rPr>
        <w:t xml:space="preserve"> ratio</w:t>
      </w:r>
      <w:r w:rsidR="000616F4">
        <w:rPr>
          <w:color w:val="000000"/>
        </w:rPr>
        <w:t xml:space="preserve">, denoted </w:t>
      </w:r>
      <w:proofErr w:type="spellStart"/>
      <w:r w:rsidR="000616F4" w:rsidRPr="000616F4">
        <w:rPr>
          <w:b/>
          <w:color w:val="000000"/>
        </w:rPr>
        <w:t>FVLoans</w:t>
      </w:r>
      <w:proofErr w:type="spellEnd"/>
      <w:r w:rsidR="000616F4">
        <w:rPr>
          <w:color w:val="000000"/>
        </w:rPr>
        <w:t xml:space="preserve">, leverage </w:t>
      </w:r>
      <w:r w:rsidR="00951158">
        <w:rPr>
          <w:color w:val="000000"/>
        </w:rPr>
        <w:t xml:space="preserve">is </w:t>
      </w:r>
      <w:r w:rsidR="000616F4">
        <w:rPr>
          <w:color w:val="000000"/>
        </w:rPr>
        <w:t>based on GAAP amounts except for loans, which are measured at fair value</w:t>
      </w:r>
      <w:r w:rsidR="00646505">
        <w:rPr>
          <w:color w:val="000000"/>
        </w:rPr>
        <w:t xml:space="preserve">. </w:t>
      </w:r>
      <w:r w:rsidR="000616F4">
        <w:rPr>
          <w:color w:val="000000"/>
        </w:rPr>
        <w:t xml:space="preserve">Similarly, for the remaining </w:t>
      </w:r>
      <w:r w:rsidR="00EE2B06">
        <w:rPr>
          <w:color w:val="000000"/>
        </w:rPr>
        <w:t xml:space="preserve">four </w:t>
      </w:r>
      <w:r w:rsidR="000616F4">
        <w:rPr>
          <w:color w:val="000000"/>
        </w:rPr>
        <w:t>ratios, leverage</w:t>
      </w:r>
      <w:r w:rsidR="00951158">
        <w:rPr>
          <w:color w:val="000000"/>
        </w:rPr>
        <w:t xml:space="preserve"> is</w:t>
      </w:r>
      <w:r w:rsidR="000616F4">
        <w:rPr>
          <w:color w:val="000000"/>
        </w:rPr>
        <w:t xml:space="preserve"> based on GAAP amounts except </w:t>
      </w:r>
      <w:r w:rsidR="00696C55">
        <w:rPr>
          <w:color w:val="000000"/>
        </w:rPr>
        <w:t xml:space="preserve">for </w:t>
      </w:r>
      <w:r w:rsidR="000616F4">
        <w:rPr>
          <w:color w:val="000000"/>
        </w:rPr>
        <w:t>securities, other assets, deposits, and other liabilities</w:t>
      </w:r>
      <w:r w:rsidR="00696C55">
        <w:rPr>
          <w:color w:val="000000"/>
        </w:rPr>
        <w:t xml:space="preserve">, which each separately </w:t>
      </w:r>
      <w:r w:rsidR="000616F4">
        <w:rPr>
          <w:color w:val="000000"/>
        </w:rPr>
        <w:t xml:space="preserve">are </w:t>
      </w:r>
      <w:r w:rsidR="00593E21">
        <w:rPr>
          <w:color w:val="000000"/>
        </w:rPr>
        <w:t>included</w:t>
      </w:r>
      <w:r w:rsidR="000616F4">
        <w:rPr>
          <w:color w:val="000000"/>
        </w:rPr>
        <w:t xml:space="preserve"> at fair value</w:t>
      </w:r>
      <w:r w:rsidR="00696C55">
        <w:rPr>
          <w:color w:val="000000"/>
        </w:rPr>
        <w:t xml:space="preserve"> and</w:t>
      </w:r>
      <w:r w:rsidR="000616F4">
        <w:rPr>
          <w:color w:val="000000"/>
        </w:rPr>
        <w:t xml:space="preserve"> </w:t>
      </w:r>
      <w:r w:rsidR="002A315E">
        <w:rPr>
          <w:color w:val="000000"/>
        </w:rPr>
        <w:t>denoted</w:t>
      </w:r>
      <w:r w:rsidR="00696C55">
        <w:rPr>
          <w:color w:val="000000"/>
        </w:rPr>
        <w:t xml:space="preserve"> as</w:t>
      </w:r>
      <w:r w:rsidR="00EE2B06">
        <w:rPr>
          <w:color w:val="000000"/>
        </w:rPr>
        <w:t xml:space="preserve"> </w:t>
      </w:r>
      <w:proofErr w:type="spellStart"/>
      <w:r w:rsidR="00EE2B06" w:rsidRPr="00EE2B06">
        <w:rPr>
          <w:b/>
          <w:color w:val="000000"/>
        </w:rPr>
        <w:t>FVSec</w:t>
      </w:r>
      <w:proofErr w:type="spellEnd"/>
      <w:r w:rsidR="00EE2B06" w:rsidRPr="00EE2B06">
        <w:rPr>
          <w:color w:val="000000"/>
        </w:rPr>
        <w:t xml:space="preserve">, </w:t>
      </w:r>
      <w:r w:rsidR="00EE2B06" w:rsidRPr="00EE2B06">
        <w:rPr>
          <w:b/>
          <w:color w:val="000000"/>
        </w:rPr>
        <w:t>FVOA</w:t>
      </w:r>
      <w:r w:rsidR="00EE2B06" w:rsidRPr="00EE2B06">
        <w:rPr>
          <w:color w:val="000000"/>
        </w:rPr>
        <w:t xml:space="preserve">, </w:t>
      </w:r>
      <w:proofErr w:type="spellStart"/>
      <w:r w:rsidR="00EE2B06" w:rsidRPr="00EE2B06">
        <w:rPr>
          <w:b/>
          <w:color w:val="000000"/>
        </w:rPr>
        <w:t>FVDep</w:t>
      </w:r>
      <w:proofErr w:type="spellEnd"/>
      <w:r w:rsidR="00EE2B06" w:rsidRPr="00EE2B06">
        <w:rPr>
          <w:color w:val="000000"/>
        </w:rPr>
        <w:t xml:space="preserve">, and </w:t>
      </w:r>
      <w:r w:rsidR="00EE2B06" w:rsidRPr="00EE2B06">
        <w:rPr>
          <w:b/>
          <w:color w:val="000000"/>
        </w:rPr>
        <w:t>FVOL</w:t>
      </w:r>
      <w:r w:rsidR="001C4496">
        <w:rPr>
          <w:color w:val="000000"/>
        </w:rPr>
        <w:t>,</w:t>
      </w:r>
      <w:r w:rsidR="00EE2B06" w:rsidRPr="00EE2B06">
        <w:rPr>
          <w:color w:val="000000"/>
        </w:rPr>
        <w:t xml:space="preserve"> </w:t>
      </w:r>
      <w:r w:rsidR="000616F4">
        <w:rPr>
          <w:color w:val="000000"/>
        </w:rPr>
        <w:t>respectively</w:t>
      </w:r>
      <w:r w:rsidR="00646505">
        <w:rPr>
          <w:color w:val="000000"/>
        </w:rPr>
        <w:t xml:space="preserve">. </w:t>
      </w:r>
    </w:p>
    <w:p w:rsidR="00A20173" w:rsidRDefault="00784ED4" w:rsidP="00AB31E5">
      <w:pPr>
        <w:spacing w:line="480" w:lineRule="auto"/>
        <w:ind w:firstLine="720"/>
        <w:jc w:val="center"/>
        <w:rPr>
          <w:color w:val="000000"/>
        </w:rPr>
      </w:pPr>
      <w:r>
        <w:rPr>
          <w:color w:val="000000"/>
        </w:rPr>
        <w:t>[INSERT TABLE 3 ABOUT HERE]</w:t>
      </w:r>
    </w:p>
    <w:p w:rsidR="00784ED4" w:rsidRDefault="005D7B62" w:rsidP="00593E21">
      <w:pPr>
        <w:spacing w:line="480" w:lineRule="auto"/>
        <w:ind w:firstLine="720"/>
        <w:rPr>
          <w:color w:val="000000"/>
        </w:rPr>
      </w:pPr>
      <w:r>
        <w:rPr>
          <w:color w:val="000000"/>
        </w:rPr>
        <w:t>Descriptive statistics on the</w:t>
      </w:r>
      <w:r w:rsidR="000616F4" w:rsidRPr="000616F4">
        <w:rPr>
          <w:color w:val="000000"/>
        </w:rPr>
        <w:t xml:space="preserve"> subsample of 104 bank-years and 62,138 bank-transaction dates from 2005 through 2010 are reported in </w:t>
      </w:r>
      <w:r w:rsidR="00901139">
        <w:rPr>
          <w:color w:val="000000"/>
        </w:rPr>
        <w:t>T</w:t>
      </w:r>
      <w:r w:rsidR="000616F4" w:rsidRPr="000616F4">
        <w:rPr>
          <w:color w:val="000000"/>
        </w:rPr>
        <w:t>able 3</w:t>
      </w:r>
      <w:r w:rsidR="00646505">
        <w:rPr>
          <w:color w:val="000000"/>
        </w:rPr>
        <w:t xml:space="preserve">. </w:t>
      </w:r>
      <w:r w:rsidR="00A4325D">
        <w:rPr>
          <w:color w:val="000000"/>
        </w:rPr>
        <w:t>For each financial instrument category</w:t>
      </w:r>
      <w:r w:rsidR="00F421EE">
        <w:rPr>
          <w:color w:val="000000"/>
        </w:rPr>
        <w:t>,</w:t>
      </w:r>
      <w:r w:rsidR="00A4325D">
        <w:rPr>
          <w:color w:val="000000"/>
        </w:rPr>
        <w:t xml:space="preserve"> we calculate the difference between disclosed fair values and the reported GAAP amount</w:t>
      </w:r>
      <w:r w:rsidR="000C22B0">
        <w:rPr>
          <w:color w:val="000000"/>
        </w:rPr>
        <w:t>, which we refer to as the fair value adjustment</w:t>
      </w:r>
      <w:r w:rsidR="00646505">
        <w:rPr>
          <w:color w:val="000000"/>
        </w:rPr>
        <w:t xml:space="preserve">. </w:t>
      </w:r>
      <w:r w:rsidR="000C22B0">
        <w:rPr>
          <w:color w:val="000000"/>
        </w:rPr>
        <w:t>W</w:t>
      </w:r>
      <w:r w:rsidR="00593E21" w:rsidRPr="00593E21">
        <w:rPr>
          <w:color w:val="000000"/>
        </w:rPr>
        <w:t xml:space="preserve">e </w:t>
      </w:r>
      <w:r w:rsidR="000C22B0">
        <w:rPr>
          <w:color w:val="000000"/>
        </w:rPr>
        <w:t>then determine</w:t>
      </w:r>
      <w:r w:rsidR="00593E21" w:rsidRPr="00593E21">
        <w:rPr>
          <w:color w:val="000000"/>
        </w:rPr>
        <w:t xml:space="preserve"> the absolute value of each of the fair </w:t>
      </w:r>
      <w:r w:rsidR="00593E21" w:rsidRPr="00593E21">
        <w:rPr>
          <w:color w:val="000000"/>
        </w:rPr>
        <w:lastRenderedPageBreak/>
        <w:t>value adjustments as a percent</w:t>
      </w:r>
      <w:r w:rsidR="00901139">
        <w:rPr>
          <w:color w:val="000000"/>
        </w:rPr>
        <w:t>age</w:t>
      </w:r>
      <w:r w:rsidR="00593E21" w:rsidRPr="00593E21">
        <w:rPr>
          <w:color w:val="000000"/>
        </w:rPr>
        <w:t xml:space="preserve"> of the s</w:t>
      </w:r>
      <w:r>
        <w:rPr>
          <w:color w:val="000000"/>
        </w:rPr>
        <w:t>um of the absolute value of all</w:t>
      </w:r>
      <w:r w:rsidR="00593E21" w:rsidRPr="00593E21">
        <w:rPr>
          <w:color w:val="000000"/>
        </w:rPr>
        <w:t xml:space="preserve"> fair value adjustments</w:t>
      </w:r>
      <w:r w:rsidR="00646505">
        <w:rPr>
          <w:color w:val="000000"/>
        </w:rPr>
        <w:t xml:space="preserve">. </w:t>
      </w:r>
      <w:r w:rsidR="00593E21" w:rsidRPr="00A4325D">
        <w:rPr>
          <w:color w:val="000000"/>
        </w:rPr>
        <w:t xml:space="preserve">We find that the mean absolute fair value adjustment for </w:t>
      </w:r>
      <w:r w:rsidR="00BA46E5">
        <w:rPr>
          <w:color w:val="000000"/>
        </w:rPr>
        <w:t>deposits and loans</w:t>
      </w:r>
      <w:r w:rsidR="000C22B0">
        <w:rPr>
          <w:color w:val="000000"/>
        </w:rPr>
        <w:t xml:space="preserve"> makes up </w:t>
      </w:r>
      <w:r w:rsidR="00BA46E5">
        <w:rPr>
          <w:color w:val="000000"/>
        </w:rPr>
        <w:t>68.8</w:t>
      </w:r>
      <w:r w:rsidR="007924A6">
        <w:rPr>
          <w:color w:val="000000"/>
        </w:rPr>
        <w:t xml:space="preserve"> percent</w:t>
      </w:r>
      <w:r w:rsidR="000C22B0">
        <w:rPr>
          <w:color w:val="000000"/>
        </w:rPr>
        <w:t xml:space="preserve"> </w:t>
      </w:r>
      <w:r w:rsidR="00BA46E5">
        <w:rPr>
          <w:color w:val="000000"/>
        </w:rPr>
        <w:t>and 20.3</w:t>
      </w:r>
      <w:r w:rsidR="007924A6">
        <w:rPr>
          <w:color w:val="000000"/>
        </w:rPr>
        <w:t xml:space="preserve"> percent</w:t>
      </w:r>
      <w:r w:rsidR="00BA46E5">
        <w:rPr>
          <w:color w:val="000000"/>
        </w:rPr>
        <w:t xml:space="preserve">, respectively, </w:t>
      </w:r>
      <w:r w:rsidR="000C22B0">
        <w:rPr>
          <w:color w:val="000000"/>
        </w:rPr>
        <w:t>of the total absolute fair value adjustment</w:t>
      </w:r>
      <w:r w:rsidR="00646505">
        <w:rPr>
          <w:color w:val="000000"/>
        </w:rPr>
        <w:t xml:space="preserve">. </w:t>
      </w:r>
      <w:r w:rsidR="000C22B0">
        <w:rPr>
          <w:color w:val="000000"/>
        </w:rPr>
        <w:t>The fair value adjustment</w:t>
      </w:r>
      <w:r w:rsidR="009649BD">
        <w:rPr>
          <w:color w:val="000000"/>
        </w:rPr>
        <w:t>s</w:t>
      </w:r>
      <w:r w:rsidR="000C22B0">
        <w:rPr>
          <w:color w:val="000000"/>
        </w:rPr>
        <w:t xml:space="preserve"> for</w:t>
      </w:r>
      <w:r w:rsidR="00593E21" w:rsidRPr="00A4325D">
        <w:rPr>
          <w:color w:val="000000"/>
        </w:rPr>
        <w:t xml:space="preserve"> </w:t>
      </w:r>
      <w:r w:rsidR="00EE2B06" w:rsidRPr="00A4325D">
        <w:rPr>
          <w:color w:val="000000"/>
        </w:rPr>
        <w:t>securities, other assets, and other liabilities</w:t>
      </w:r>
      <w:r w:rsidR="009649BD">
        <w:rPr>
          <w:color w:val="000000"/>
        </w:rPr>
        <w:t xml:space="preserve"> are</w:t>
      </w:r>
      <w:r w:rsidR="00593E21" w:rsidRPr="00A4325D">
        <w:rPr>
          <w:color w:val="000000"/>
        </w:rPr>
        <w:t xml:space="preserve"> </w:t>
      </w:r>
      <w:r w:rsidR="00BA46E5">
        <w:rPr>
          <w:color w:val="000000"/>
        </w:rPr>
        <w:t>1.7</w:t>
      </w:r>
      <w:r w:rsidR="007924A6">
        <w:rPr>
          <w:color w:val="000000"/>
        </w:rPr>
        <w:t xml:space="preserve"> percent</w:t>
      </w:r>
      <w:r w:rsidR="00593E21" w:rsidRPr="00A4325D">
        <w:rPr>
          <w:color w:val="000000"/>
        </w:rPr>
        <w:t xml:space="preserve">, </w:t>
      </w:r>
      <w:r w:rsidR="00BA46E5">
        <w:rPr>
          <w:color w:val="000000"/>
        </w:rPr>
        <w:t>0</w:t>
      </w:r>
      <w:r w:rsidR="00A4325D">
        <w:rPr>
          <w:color w:val="000000"/>
        </w:rPr>
        <w:t>.</w:t>
      </w:r>
      <w:r w:rsidR="00BA46E5">
        <w:rPr>
          <w:color w:val="000000"/>
        </w:rPr>
        <w:t>3</w:t>
      </w:r>
      <w:r w:rsidR="007924A6" w:rsidRPr="007924A6">
        <w:rPr>
          <w:color w:val="000000"/>
        </w:rPr>
        <w:t xml:space="preserve"> </w:t>
      </w:r>
      <w:r w:rsidR="007924A6">
        <w:rPr>
          <w:color w:val="000000"/>
        </w:rPr>
        <w:t>percent</w:t>
      </w:r>
      <w:r w:rsidR="00593E21" w:rsidRPr="00A4325D">
        <w:rPr>
          <w:color w:val="000000"/>
        </w:rPr>
        <w:t>,</w:t>
      </w:r>
      <w:r w:rsidR="00A4325D">
        <w:rPr>
          <w:color w:val="000000"/>
        </w:rPr>
        <w:t xml:space="preserve"> </w:t>
      </w:r>
      <w:r w:rsidR="00593E21" w:rsidRPr="00A4325D">
        <w:rPr>
          <w:color w:val="000000"/>
        </w:rPr>
        <w:t xml:space="preserve">and </w:t>
      </w:r>
      <w:r w:rsidR="00BA46E5">
        <w:rPr>
          <w:color w:val="000000"/>
        </w:rPr>
        <w:t>8.9</w:t>
      </w:r>
      <w:r w:rsidR="007924A6" w:rsidRPr="007924A6">
        <w:rPr>
          <w:color w:val="000000"/>
        </w:rPr>
        <w:t xml:space="preserve"> </w:t>
      </w:r>
      <w:r w:rsidR="007924A6">
        <w:rPr>
          <w:color w:val="000000"/>
        </w:rPr>
        <w:t>percent</w:t>
      </w:r>
      <w:r w:rsidR="00A4325D">
        <w:rPr>
          <w:color w:val="000000"/>
        </w:rPr>
        <w:t>,</w:t>
      </w:r>
      <w:r w:rsidR="00593E21" w:rsidRPr="00A4325D">
        <w:rPr>
          <w:color w:val="000000"/>
        </w:rPr>
        <w:t xml:space="preserve"> respectively</w:t>
      </w:r>
      <w:r w:rsidR="00646505">
        <w:rPr>
          <w:color w:val="000000"/>
        </w:rPr>
        <w:t xml:space="preserve">. </w:t>
      </w:r>
      <w:r w:rsidR="00593E21" w:rsidRPr="00A4325D">
        <w:rPr>
          <w:color w:val="000000"/>
        </w:rPr>
        <w:t xml:space="preserve">This indicates that for the average bank </w:t>
      </w:r>
      <w:r w:rsidR="00A4325D">
        <w:rPr>
          <w:color w:val="000000"/>
        </w:rPr>
        <w:t xml:space="preserve">in our sample </w:t>
      </w:r>
      <w:r w:rsidR="00593E21" w:rsidRPr="00A4325D">
        <w:rPr>
          <w:color w:val="000000"/>
        </w:rPr>
        <w:t xml:space="preserve">the </w:t>
      </w:r>
      <w:r w:rsidR="00A4325D">
        <w:rPr>
          <w:color w:val="000000"/>
        </w:rPr>
        <w:t xml:space="preserve">difference between the fair value and GAAP </w:t>
      </w:r>
      <w:r w:rsidR="000C22B0">
        <w:rPr>
          <w:color w:val="000000"/>
        </w:rPr>
        <w:t>amounts for loans</w:t>
      </w:r>
      <w:r w:rsidR="00BA46E5">
        <w:rPr>
          <w:color w:val="000000"/>
        </w:rPr>
        <w:t xml:space="preserve"> and deposits are</w:t>
      </w:r>
      <w:r w:rsidR="009649BD">
        <w:rPr>
          <w:color w:val="000000"/>
        </w:rPr>
        <w:t xml:space="preserve"> the primary sources of the </w:t>
      </w:r>
      <w:r w:rsidR="00593E21" w:rsidRPr="00A4325D">
        <w:rPr>
          <w:color w:val="000000"/>
        </w:rPr>
        <w:t xml:space="preserve">difference </w:t>
      </w:r>
      <w:r w:rsidR="000C22B0">
        <w:rPr>
          <w:color w:val="000000"/>
        </w:rPr>
        <w:t>between</w:t>
      </w:r>
      <w:r w:rsidR="00593E21" w:rsidRPr="00A4325D">
        <w:rPr>
          <w:color w:val="000000"/>
        </w:rPr>
        <w:t xml:space="preserve"> </w:t>
      </w:r>
      <w:r w:rsidR="00593E21" w:rsidRPr="00A4325D">
        <w:rPr>
          <w:b/>
          <w:color w:val="000000"/>
        </w:rPr>
        <w:t xml:space="preserve">GAAP </w:t>
      </w:r>
      <w:r w:rsidR="000C22B0" w:rsidRPr="000C22B0">
        <w:rPr>
          <w:color w:val="000000"/>
        </w:rPr>
        <w:t>and</w:t>
      </w:r>
      <w:r w:rsidR="00593E21" w:rsidRPr="00A4325D">
        <w:rPr>
          <w:b/>
          <w:color w:val="000000"/>
        </w:rPr>
        <w:t xml:space="preserve"> FV</w:t>
      </w:r>
      <w:r w:rsidR="00593E21" w:rsidRPr="00A4325D">
        <w:rPr>
          <w:color w:val="000000"/>
        </w:rPr>
        <w:t>.</w:t>
      </w:r>
    </w:p>
    <w:p w:rsidR="00A20173" w:rsidRDefault="00784ED4" w:rsidP="00AB31E5">
      <w:pPr>
        <w:spacing w:line="480" w:lineRule="auto"/>
        <w:ind w:firstLine="720"/>
        <w:jc w:val="center"/>
        <w:rPr>
          <w:color w:val="000000"/>
        </w:rPr>
      </w:pPr>
      <w:r>
        <w:rPr>
          <w:color w:val="000000"/>
        </w:rPr>
        <w:t>[INSERT TABLE 4 ABOUT HERE]</w:t>
      </w:r>
    </w:p>
    <w:p w:rsidR="0069788B" w:rsidRDefault="003E5BAF" w:rsidP="005F1DEF">
      <w:pPr>
        <w:spacing w:line="480" w:lineRule="auto"/>
        <w:ind w:firstLine="720"/>
        <w:rPr>
          <w:color w:val="000000"/>
        </w:rPr>
      </w:pPr>
      <w:r>
        <w:rPr>
          <w:color w:val="000000"/>
        </w:rPr>
        <w:t>For this subsample, w</w:t>
      </w:r>
      <w:r w:rsidR="0069788B">
        <w:rPr>
          <w:color w:val="000000"/>
        </w:rPr>
        <w:t xml:space="preserve">e repeat </w:t>
      </w:r>
      <w:r w:rsidR="000616F4">
        <w:rPr>
          <w:color w:val="000000"/>
        </w:rPr>
        <w:t>the analyses on each of the five</w:t>
      </w:r>
      <w:r w:rsidR="00A30C7E">
        <w:rPr>
          <w:color w:val="000000"/>
        </w:rPr>
        <w:t xml:space="preserve"> new</w:t>
      </w:r>
      <w:r w:rsidR="000616F4">
        <w:rPr>
          <w:color w:val="000000"/>
        </w:rPr>
        <w:t xml:space="preserve"> leverage measures</w:t>
      </w:r>
      <w:r w:rsidR="00A30C7E">
        <w:rPr>
          <w:color w:val="000000"/>
        </w:rPr>
        <w:t xml:space="preserve"> as well as our three primary leverage ratios. </w:t>
      </w:r>
      <w:r w:rsidR="0069788B">
        <w:rPr>
          <w:color w:val="000000"/>
        </w:rPr>
        <w:t>The r</w:t>
      </w:r>
      <w:r w:rsidR="00A30C7E">
        <w:rPr>
          <w:color w:val="000000"/>
        </w:rPr>
        <w:t xml:space="preserve">esults reported in </w:t>
      </w:r>
      <w:r w:rsidR="00901139">
        <w:rPr>
          <w:color w:val="000000"/>
        </w:rPr>
        <w:t>T</w:t>
      </w:r>
      <w:r w:rsidR="00A30C7E">
        <w:rPr>
          <w:color w:val="000000"/>
        </w:rPr>
        <w:t>able 4 are quite similar across the univariate (panels A and B) and multivariate (panels C and D) analyses</w:t>
      </w:r>
      <w:r w:rsidR="00646505">
        <w:rPr>
          <w:color w:val="000000"/>
        </w:rPr>
        <w:t xml:space="preserve">. </w:t>
      </w:r>
      <w:r w:rsidR="00A30C7E">
        <w:rPr>
          <w:color w:val="000000"/>
        </w:rPr>
        <w:t xml:space="preserve">As </w:t>
      </w:r>
      <w:r w:rsidR="00881302">
        <w:rPr>
          <w:color w:val="000000"/>
        </w:rPr>
        <w:t>reported in panel B</w:t>
      </w:r>
      <w:r w:rsidR="00A30C7E">
        <w:rPr>
          <w:color w:val="000000"/>
        </w:rPr>
        <w:t xml:space="preserve">, the explanatory power of </w:t>
      </w:r>
      <w:r w:rsidR="00A30C7E" w:rsidRPr="00A30C7E">
        <w:rPr>
          <w:b/>
          <w:color w:val="000000"/>
        </w:rPr>
        <w:t>FV</w:t>
      </w:r>
      <w:r w:rsidR="00A30C7E">
        <w:rPr>
          <w:color w:val="000000"/>
        </w:rPr>
        <w:t xml:space="preserve"> statistically dominates all other leverage ratios</w:t>
      </w:r>
      <w:r w:rsidR="00881302">
        <w:rPr>
          <w:color w:val="000000"/>
        </w:rPr>
        <w:t xml:space="preserve"> (</w:t>
      </w:r>
      <w:r w:rsidR="00881302" w:rsidRPr="00881302">
        <w:rPr>
          <w:i/>
          <w:color w:val="000000"/>
        </w:rPr>
        <w:t>p</w:t>
      </w:r>
      <w:r w:rsidR="00881302">
        <w:rPr>
          <w:color w:val="000000"/>
        </w:rPr>
        <w:t xml:space="preserve"> &lt; 0.001)</w:t>
      </w:r>
      <w:r w:rsidR="00901139">
        <w:rPr>
          <w:color w:val="000000"/>
        </w:rPr>
        <w:t>,</w:t>
      </w:r>
      <w:r w:rsidR="00881302">
        <w:rPr>
          <w:color w:val="000000"/>
        </w:rPr>
        <w:t xml:space="preserve"> </w:t>
      </w:r>
      <w:r w:rsidR="00A30C7E">
        <w:rPr>
          <w:color w:val="000000"/>
        </w:rPr>
        <w:t xml:space="preserve">suggesting that a model that includes the fair value of </w:t>
      </w:r>
      <w:r w:rsidR="00A30C7E" w:rsidRPr="00A30C7E">
        <w:rPr>
          <w:i/>
          <w:color w:val="000000"/>
        </w:rPr>
        <w:t>all</w:t>
      </w:r>
      <w:r w:rsidR="00A30C7E">
        <w:rPr>
          <w:color w:val="000000"/>
        </w:rPr>
        <w:t xml:space="preserve"> financial instruments is more closely associated with credit risk than other less fair</w:t>
      </w:r>
      <w:r w:rsidR="008478C3">
        <w:rPr>
          <w:color w:val="000000"/>
        </w:rPr>
        <w:t>-</w:t>
      </w:r>
      <w:r w:rsidR="00A30C7E">
        <w:rPr>
          <w:color w:val="000000"/>
        </w:rPr>
        <w:t>value</w:t>
      </w:r>
      <w:r w:rsidR="008478C3">
        <w:rPr>
          <w:color w:val="000000"/>
        </w:rPr>
        <w:t>-</w:t>
      </w:r>
      <w:r w:rsidR="00A30C7E">
        <w:rPr>
          <w:color w:val="000000"/>
        </w:rPr>
        <w:t>based models</w:t>
      </w:r>
      <w:r w:rsidR="00646505">
        <w:rPr>
          <w:color w:val="000000"/>
        </w:rPr>
        <w:t xml:space="preserve">. </w:t>
      </w:r>
      <w:r w:rsidR="00A30C7E">
        <w:rPr>
          <w:color w:val="000000"/>
        </w:rPr>
        <w:t xml:space="preserve">Interestingly, however, the explanatory power of </w:t>
      </w:r>
      <w:proofErr w:type="spellStart"/>
      <w:r w:rsidR="00A30C7E" w:rsidRPr="00202751">
        <w:rPr>
          <w:b/>
          <w:color w:val="000000"/>
        </w:rPr>
        <w:t>FVLoans</w:t>
      </w:r>
      <w:proofErr w:type="spellEnd"/>
      <w:r w:rsidR="00202751">
        <w:rPr>
          <w:color w:val="000000"/>
        </w:rPr>
        <w:t xml:space="preserve"> is very close behind</w:t>
      </w:r>
      <w:r w:rsidR="009E6171">
        <w:rPr>
          <w:color w:val="000000"/>
        </w:rPr>
        <w:t xml:space="preserve"> that of</w:t>
      </w:r>
      <w:r w:rsidR="00881302">
        <w:rPr>
          <w:color w:val="000000"/>
        </w:rPr>
        <w:t xml:space="preserve"> </w:t>
      </w:r>
      <w:r w:rsidR="001C4496">
        <w:rPr>
          <w:b/>
          <w:color w:val="000000"/>
        </w:rPr>
        <w:t>FV</w:t>
      </w:r>
      <w:r w:rsidR="009649BD">
        <w:rPr>
          <w:b/>
          <w:color w:val="000000"/>
        </w:rPr>
        <w:t xml:space="preserve">. </w:t>
      </w:r>
      <w:r w:rsidR="009649BD">
        <w:rPr>
          <w:color w:val="000000"/>
        </w:rPr>
        <w:t xml:space="preserve">For example, </w:t>
      </w:r>
      <w:r w:rsidR="00C57538">
        <w:rPr>
          <w:color w:val="000000"/>
        </w:rPr>
        <w:t xml:space="preserve">as shown in panel A, </w:t>
      </w:r>
      <w:r w:rsidR="00881302">
        <w:rPr>
          <w:color w:val="000000"/>
        </w:rPr>
        <w:t xml:space="preserve">the </w:t>
      </w:r>
      <w:r w:rsidR="00881302" w:rsidRPr="00881302">
        <w:rPr>
          <w:b/>
          <w:color w:val="000000"/>
        </w:rPr>
        <w:t>FV</w:t>
      </w:r>
      <w:r w:rsidR="00881302">
        <w:rPr>
          <w:color w:val="000000"/>
        </w:rPr>
        <w:t xml:space="preserve"> </w:t>
      </w:r>
      <w:r>
        <w:rPr>
          <w:color w:val="000000"/>
        </w:rPr>
        <w:t xml:space="preserve">adjusted </w:t>
      </w:r>
      <w:r w:rsidR="00881302">
        <w:rPr>
          <w:color w:val="000000"/>
        </w:rPr>
        <w:t>R</w:t>
      </w:r>
      <w:r w:rsidR="00881302">
        <w:rPr>
          <w:color w:val="000000"/>
          <w:vertAlign w:val="superscript"/>
        </w:rPr>
        <w:t xml:space="preserve">2 </w:t>
      </w:r>
      <w:r w:rsidR="00881302">
        <w:rPr>
          <w:color w:val="000000"/>
        </w:rPr>
        <w:t>is 0.3579</w:t>
      </w:r>
      <w:r w:rsidR="008478C3">
        <w:rPr>
          <w:color w:val="000000"/>
        </w:rPr>
        <w:t>,</w:t>
      </w:r>
      <w:r w:rsidR="00881302">
        <w:rPr>
          <w:color w:val="000000"/>
        </w:rPr>
        <w:t xml:space="preserve"> while the</w:t>
      </w:r>
      <w:r w:rsidR="00881302" w:rsidRPr="00881302">
        <w:rPr>
          <w:color w:val="000000"/>
        </w:rPr>
        <w:t xml:space="preserve"> </w:t>
      </w:r>
      <w:proofErr w:type="spellStart"/>
      <w:r w:rsidR="0069788B" w:rsidRPr="00881302">
        <w:rPr>
          <w:b/>
          <w:color w:val="000000"/>
        </w:rPr>
        <w:t>FVLoans</w:t>
      </w:r>
      <w:proofErr w:type="spellEnd"/>
      <w:r w:rsidR="0069788B">
        <w:rPr>
          <w:color w:val="000000"/>
        </w:rPr>
        <w:t xml:space="preserve"> </w:t>
      </w:r>
      <w:r>
        <w:rPr>
          <w:color w:val="000000"/>
        </w:rPr>
        <w:t>a</w:t>
      </w:r>
      <w:r w:rsidRPr="00881302">
        <w:rPr>
          <w:color w:val="000000"/>
        </w:rPr>
        <w:t xml:space="preserve">djusted </w:t>
      </w:r>
      <w:r w:rsidR="00881302" w:rsidRPr="00881302">
        <w:rPr>
          <w:color w:val="000000"/>
        </w:rPr>
        <w:t>R</w:t>
      </w:r>
      <w:r w:rsidR="00881302" w:rsidRPr="00881302">
        <w:rPr>
          <w:color w:val="000000"/>
          <w:vertAlign w:val="superscript"/>
        </w:rPr>
        <w:t>2</w:t>
      </w:r>
      <w:r w:rsidR="009649BD">
        <w:rPr>
          <w:color w:val="000000"/>
        </w:rPr>
        <w:t xml:space="preserve"> is 0.3547</w:t>
      </w:r>
      <w:r w:rsidR="009E6171">
        <w:rPr>
          <w:color w:val="000000"/>
        </w:rPr>
        <w:t xml:space="preserve"> and is statistically different from </w:t>
      </w:r>
      <w:r w:rsidR="009E6171">
        <w:rPr>
          <w:b/>
          <w:color w:val="000000"/>
        </w:rPr>
        <w:t>GAAP</w:t>
      </w:r>
      <w:r w:rsidR="00646505">
        <w:rPr>
          <w:color w:val="000000"/>
        </w:rPr>
        <w:t xml:space="preserve">. </w:t>
      </w:r>
      <w:r w:rsidR="009649BD">
        <w:rPr>
          <w:color w:val="000000"/>
        </w:rPr>
        <w:t>Third</w:t>
      </w:r>
      <w:r w:rsidR="009E6171">
        <w:rPr>
          <w:color w:val="000000"/>
        </w:rPr>
        <w:t xml:space="preserve"> in explanatory power </w:t>
      </w:r>
      <w:r w:rsidR="002A315E">
        <w:rPr>
          <w:color w:val="000000"/>
        </w:rPr>
        <w:t xml:space="preserve">behind </w:t>
      </w:r>
      <w:proofErr w:type="spellStart"/>
      <w:r w:rsidR="002A315E" w:rsidRPr="002A315E">
        <w:rPr>
          <w:b/>
          <w:color w:val="000000"/>
        </w:rPr>
        <w:t>FVLoans</w:t>
      </w:r>
      <w:proofErr w:type="spellEnd"/>
      <w:r w:rsidR="00E61361">
        <w:rPr>
          <w:b/>
          <w:color w:val="000000"/>
        </w:rPr>
        <w:t xml:space="preserve"> </w:t>
      </w:r>
      <w:r w:rsidR="002A315E">
        <w:rPr>
          <w:color w:val="000000"/>
        </w:rPr>
        <w:t>is</w:t>
      </w:r>
      <w:r w:rsidR="00E61361">
        <w:rPr>
          <w:color w:val="000000"/>
        </w:rPr>
        <w:t xml:space="preserve"> </w:t>
      </w:r>
      <w:proofErr w:type="spellStart"/>
      <w:r w:rsidR="002A315E" w:rsidRPr="002A315E">
        <w:rPr>
          <w:b/>
          <w:color w:val="000000"/>
        </w:rPr>
        <w:t>FVDep</w:t>
      </w:r>
      <w:proofErr w:type="spellEnd"/>
      <w:r w:rsidR="009649BD">
        <w:rPr>
          <w:b/>
          <w:color w:val="000000"/>
        </w:rPr>
        <w:t>,</w:t>
      </w:r>
      <w:r w:rsidR="00202751">
        <w:rPr>
          <w:color w:val="000000"/>
        </w:rPr>
        <w:t xml:space="preserve"> </w:t>
      </w:r>
      <w:r w:rsidR="009649BD">
        <w:rPr>
          <w:color w:val="000000"/>
        </w:rPr>
        <w:t>which</w:t>
      </w:r>
      <w:r w:rsidR="00EC6C02">
        <w:rPr>
          <w:color w:val="000000"/>
        </w:rPr>
        <w:t xml:space="preserve"> </w:t>
      </w:r>
      <w:r w:rsidR="009E6171">
        <w:rPr>
          <w:color w:val="000000"/>
        </w:rPr>
        <w:t xml:space="preserve">also is statistically different from </w:t>
      </w:r>
      <w:r w:rsidR="009E6171">
        <w:rPr>
          <w:b/>
          <w:color w:val="000000"/>
        </w:rPr>
        <w:t>GAAP</w:t>
      </w:r>
      <w:r w:rsidR="00E61361">
        <w:rPr>
          <w:color w:val="000000"/>
        </w:rPr>
        <w:t xml:space="preserve"> in both analyses</w:t>
      </w:r>
      <w:r w:rsidR="00646505">
        <w:rPr>
          <w:color w:val="000000"/>
        </w:rPr>
        <w:t xml:space="preserve">. </w:t>
      </w:r>
      <w:r w:rsidR="00E61361">
        <w:rPr>
          <w:color w:val="000000"/>
        </w:rPr>
        <w:t>Finally, t</w:t>
      </w:r>
      <w:r w:rsidR="009E6171">
        <w:rPr>
          <w:color w:val="000000"/>
        </w:rPr>
        <w:t>he adjusted R</w:t>
      </w:r>
      <w:r w:rsidR="009E6171">
        <w:rPr>
          <w:color w:val="000000"/>
          <w:vertAlign w:val="superscript"/>
        </w:rPr>
        <w:t>2</w:t>
      </w:r>
      <w:r w:rsidR="009E6171">
        <w:rPr>
          <w:color w:val="000000"/>
        </w:rPr>
        <w:t xml:space="preserve"> of the other variables representing the other three categories of financial instruments</w:t>
      </w:r>
      <w:r w:rsidR="00E61361">
        <w:rPr>
          <w:color w:val="000000"/>
        </w:rPr>
        <w:t xml:space="preserve"> (</w:t>
      </w:r>
      <w:proofErr w:type="spellStart"/>
      <w:r w:rsidR="00E61361" w:rsidRPr="00EE2B06">
        <w:rPr>
          <w:b/>
          <w:color w:val="000000"/>
        </w:rPr>
        <w:t>FVSec</w:t>
      </w:r>
      <w:proofErr w:type="spellEnd"/>
      <w:r w:rsidR="00E61361" w:rsidRPr="00EE2B06">
        <w:rPr>
          <w:color w:val="000000"/>
        </w:rPr>
        <w:t xml:space="preserve">, </w:t>
      </w:r>
      <w:r w:rsidR="00E61361" w:rsidRPr="00EE2B06">
        <w:rPr>
          <w:b/>
          <w:color w:val="000000"/>
        </w:rPr>
        <w:t>FVOA</w:t>
      </w:r>
      <w:r w:rsidR="00E61361" w:rsidRPr="00EE2B06">
        <w:rPr>
          <w:color w:val="000000"/>
        </w:rPr>
        <w:t xml:space="preserve">, and </w:t>
      </w:r>
      <w:r w:rsidR="00E61361" w:rsidRPr="00EE2B06">
        <w:rPr>
          <w:b/>
          <w:color w:val="000000"/>
        </w:rPr>
        <w:t>FVOL</w:t>
      </w:r>
      <w:r w:rsidR="00E61361">
        <w:rPr>
          <w:b/>
          <w:color w:val="000000"/>
        </w:rPr>
        <w:t>)</w:t>
      </w:r>
      <w:r w:rsidR="009E6171">
        <w:rPr>
          <w:color w:val="000000"/>
        </w:rPr>
        <w:t xml:space="preserve">, while statistically different from </w:t>
      </w:r>
      <w:r w:rsidR="009E6171">
        <w:rPr>
          <w:b/>
          <w:color w:val="000000"/>
        </w:rPr>
        <w:t>GAAP</w:t>
      </w:r>
      <w:r w:rsidR="00FF26A2" w:rsidRPr="00415188">
        <w:rPr>
          <w:color w:val="000000"/>
        </w:rPr>
        <w:t>,</w:t>
      </w:r>
      <w:r w:rsidR="009E6171">
        <w:rPr>
          <w:color w:val="000000"/>
        </w:rPr>
        <w:t xml:space="preserve"> generally do not indicate economically meaningful differences in explanatory power</w:t>
      </w:r>
      <w:r w:rsidR="00140AFE">
        <w:rPr>
          <w:color w:val="000000"/>
        </w:rPr>
        <w:t>. These results indicate</w:t>
      </w:r>
      <w:r w:rsidR="009E6171">
        <w:rPr>
          <w:color w:val="000000"/>
        </w:rPr>
        <w:t xml:space="preserve"> that almost all of the incremental explanatory power of </w:t>
      </w:r>
      <w:r w:rsidR="009E6171" w:rsidRPr="00202751">
        <w:rPr>
          <w:b/>
          <w:color w:val="000000"/>
        </w:rPr>
        <w:t>FV</w:t>
      </w:r>
      <w:r w:rsidR="009E6171">
        <w:rPr>
          <w:color w:val="000000"/>
        </w:rPr>
        <w:t xml:space="preserve"> over </w:t>
      </w:r>
      <w:r w:rsidR="009E6171" w:rsidRPr="00202751">
        <w:rPr>
          <w:b/>
          <w:color w:val="000000"/>
        </w:rPr>
        <w:t>GAAP</w:t>
      </w:r>
      <w:r w:rsidR="009E6171">
        <w:rPr>
          <w:color w:val="000000"/>
        </w:rPr>
        <w:t xml:space="preserve"> is derived f</w:t>
      </w:r>
      <w:r w:rsidR="00140AFE">
        <w:rPr>
          <w:color w:val="000000"/>
        </w:rPr>
        <w:t>rom the fair value of loans and</w:t>
      </w:r>
      <w:r w:rsidR="00E61361">
        <w:rPr>
          <w:color w:val="000000"/>
        </w:rPr>
        <w:t xml:space="preserve"> </w:t>
      </w:r>
      <w:r w:rsidR="009E6171">
        <w:rPr>
          <w:color w:val="000000"/>
        </w:rPr>
        <w:t>deposits</w:t>
      </w:r>
      <w:r w:rsidR="007B545B">
        <w:rPr>
          <w:color w:val="000000"/>
        </w:rPr>
        <w:t>.</w:t>
      </w:r>
      <w:r w:rsidR="0069788B">
        <w:rPr>
          <w:color w:val="000000"/>
        </w:rPr>
        <w:t xml:space="preserve"> </w:t>
      </w:r>
    </w:p>
    <w:p w:rsidR="000616F4" w:rsidRDefault="00AB31E5" w:rsidP="005F1DEF">
      <w:pPr>
        <w:spacing w:line="480" w:lineRule="auto"/>
        <w:ind w:firstLine="720"/>
        <w:rPr>
          <w:color w:val="000000"/>
        </w:rPr>
      </w:pPr>
      <w:r>
        <w:lastRenderedPageBreak/>
        <w:t>We perform a</w:t>
      </w:r>
      <w:r w:rsidR="0069788B">
        <w:t>n alternat</w:t>
      </w:r>
      <w:r w:rsidR="00140AFE">
        <w:t>ive untabulated test</w:t>
      </w:r>
      <w:r>
        <w:t xml:space="preserve"> that</w:t>
      </w:r>
      <w:r w:rsidR="00140AFE">
        <w:t xml:space="preserve"> </w:t>
      </w:r>
      <w:r w:rsidR="0069788B">
        <w:t>examine</w:t>
      </w:r>
      <w:r w:rsidR="00140AFE">
        <w:t>s</w:t>
      </w:r>
      <w:r w:rsidR="0069788B">
        <w:t xml:space="preserve"> </w:t>
      </w:r>
      <w:r>
        <w:t xml:space="preserve">whether the explanatory power of </w:t>
      </w:r>
      <w:r w:rsidR="006E53C5" w:rsidRPr="006E53C5">
        <w:rPr>
          <w:b/>
        </w:rPr>
        <w:t>FV</w:t>
      </w:r>
      <w:r>
        <w:t xml:space="preserve"> varies across bank types</w:t>
      </w:r>
      <w:r w:rsidR="0069788B">
        <w:t xml:space="preserve">. </w:t>
      </w:r>
      <w:r w:rsidR="008354D0">
        <w:t>To begin</w:t>
      </w:r>
      <w:r w:rsidR="0069788B">
        <w:t xml:space="preserve">, we separate our sample into </w:t>
      </w:r>
      <w:r w:rsidR="008354D0">
        <w:t>banks with a</w:t>
      </w:r>
      <w:r w:rsidR="003E5BAF">
        <w:t xml:space="preserve"> more </w:t>
      </w:r>
      <w:r w:rsidR="00545761">
        <w:t>traditional “</w:t>
      </w:r>
      <w:r w:rsidR="008354D0">
        <w:t>banking book</w:t>
      </w:r>
      <w:r w:rsidR="003E5BAF">
        <w:t xml:space="preserve"> of</w:t>
      </w:r>
      <w:r w:rsidR="008354D0">
        <w:t xml:space="preserve"> business</w:t>
      </w:r>
      <w:r w:rsidR="003E5BAF">
        <w:t>”</w:t>
      </w:r>
      <w:r w:rsidR="008354D0">
        <w:t xml:space="preserve"> and those with more complex </w:t>
      </w:r>
      <w:r w:rsidR="003E5BAF">
        <w:t>asset structures</w:t>
      </w:r>
      <w:r w:rsidR="008354D0">
        <w:t xml:space="preserve">, using </w:t>
      </w:r>
      <w:r w:rsidR="00E13D84">
        <w:t xml:space="preserve">the loan-to-asset ratio </w:t>
      </w:r>
      <w:r w:rsidR="008354D0">
        <w:t xml:space="preserve">to identify </w:t>
      </w:r>
      <w:r w:rsidR="003E5BAF">
        <w:t xml:space="preserve">differences in the </w:t>
      </w:r>
      <w:r w:rsidR="008354D0">
        <w:t>banks’ business model</w:t>
      </w:r>
      <w:r w:rsidR="003E5BAF">
        <w:t>s</w:t>
      </w:r>
      <w:r w:rsidR="008354D0">
        <w:t xml:space="preserve">. </w:t>
      </w:r>
      <w:r w:rsidR="0069788B">
        <w:t>Banks with above median loan</w:t>
      </w:r>
      <w:r w:rsidR="00281941">
        <w:t>-</w:t>
      </w:r>
      <w:r w:rsidR="0069788B">
        <w:t>to</w:t>
      </w:r>
      <w:r w:rsidR="00281941">
        <w:t>-</w:t>
      </w:r>
      <w:r w:rsidR="0069788B">
        <w:t>asset ratios are more likely to be focused on originating and holding loans</w:t>
      </w:r>
      <w:r w:rsidR="00CA23AB">
        <w:t>,</w:t>
      </w:r>
      <w:r w:rsidR="0069788B">
        <w:t xml:space="preserve"> and thus</w:t>
      </w:r>
      <w:r w:rsidR="00CA23AB">
        <w:t xml:space="preserve"> </w:t>
      </w:r>
      <w:r w:rsidR="0069788B">
        <w:t xml:space="preserve">be less complex organizations. We rerun our main tests </w:t>
      </w:r>
      <w:r w:rsidR="00E13D84">
        <w:t xml:space="preserve">separately for banks with </w:t>
      </w:r>
      <w:r w:rsidR="003E5BAF">
        <w:t xml:space="preserve">above median </w:t>
      </w:r>
      <w:r w:rsidR="00E13D84">
        <w:t xml:space="preserve">loan-to-asset ratios and those with </w:t>
      </w:r>
      <w:r w:rsidR="003E5BAF">
        <w:t xml:space="preserve">below median </w:t>
      </w:r>
      <w:r w:rsidR="00E13D84">
        <w:t>ratios</w:t>
      </w:r>
      <w:r w:rsidR="0069788B">
        <w:t xml:space="preserve">, and we </w:t>
      </w:r>
      <w:r w:rsidR="007422B4">
        <w:t xml:space="preserve">consistently find that the explanatory power of </w:t>
      </w:r>
      <w:r w:rsidR="007422B4">
        <w:rPr>
          <w:b/>
        </w:rPr>
        <w:t xml:space="preserve">FV </w:t>
      </w:r>
      <w:r w:rsidR="007422B4">
        <w:t xml:space="preserve">is greater than that of </w:t>
      </w:r>
      <w:r w:rsidR="007422B4">
        <w:rPr>
          <w:b/>
        </w:rPr>
        <w:t xml:space="preserve">GAAP </w:t>
      </w:r>
      <w:r w:rsidR="007422B4">
        <w:t>for both groups with the coefficient signs on both variables always being positive. Specifically, we find for banks with above median loan-to-asset ratios that the adjusted R</w:t>
      </w:r>
      <w:r w:rsidR="007422B4" w:rsidRPr="00862E3E">
        <w:rPr>
          <w:vertAlign w:val="superscript"/>
        </w:rPr>
        <w:t>2</w:t>
      </w:r>
      <w:r w:rsidR="007422B4">
        <w:t xml:space="preserve">s for </w:t>
      </w:r>
      <w:r w:rsidR="007422B4">
        <w:rPr>
          <w:b/>
        </w:rPr>
        <w:t xml:space="preserve">FV </w:t>
      </w:r>
      <w:r w:rsidR="007422B4">
        <w:t xml:space="preserve">and </w:t>
      </w:r>
      <w:r w:rsidR="007422B4">
        <w:rPr>
          <w:b/>
        </w:rPr>
        <w:t xml:space="preserve">GAAP </w:t>
      </w:r>
      <w:r w:rsidR="007422B4">
        <w:t>are 0.41 versus 0.29 in univariate tests and 0.46 versus 0.42 in multivariate tests, respectively, with all differences significant at p-values &lt; 0.01. For banks with below median loan-to-asset ratios we find that the adjusted R</w:t>
      </w:r>
      <w:r w:rsidR="007422B4" w:rsidRPr="00862E3E">
        <w:rPr>
          <w:vertAlign w:val="superscript"/>
        </w:rPr>
        <w:t>2</w:t>
      </w:r>
      <w:r w:rsidR="007422B4">
        <w:t xml:space="preserve">s for </w:t>
      </w:r>
      <w:r w:rsidR="007422B4">
        <w:rPr>
          <w:b/>
        </w:rPr>
        <w:t xml:space="preserve">FV </w:t>
      </w:r>
      <w:r w:rsidR="007422B4">
        <w:t xml:space="preserve">and </w:t>
      </w:r>
      <w:r w:rsidR="007422B4">
        <w:rPr>
          <w:b/>
        </w:rPr>
        <w:t>GAAP</w:t>
      </w:r>
      <w:r w:rsidR="007422B4">
        <w:t xml:space="preserve"> are 0.24 versus 0.18 in univariate tests and 0.40 versus 0.39 in multivariate tests, respectively, with all differences significant at p-values &lt; 0.01. </w:t>
      </w:r>
      <w:r w:rsidR="007422B4" w:rsidRPr="008B3AE5">
        <w:t>Although</w:t>
      </w:r>
      <w:r w:rsidR="007422B4">
        <w:t xml:space="preserve"> both groups show evidence of greater explanatory power for </w:t>
      </w:r>
      <w:r w:rsidR="007422B4">
        <w:rPr>
          <w:b/>
        </w:rPr>
        <w:t xml:space="preserve">FV </w:t>
      </w:r>
      <w:r w:rsidR="007422B4">
        <w:t xml:space="preserve">than for </w:t>
      </w:r>
      <w:r w:rsidR="007422B4">
        <w:rPr>
          <w:b/>
        </w:rPr>
        <w:t>GAAP</w:t>
      </w:r>
      <w:r w:rsidR="007422B4" w:rsidRPr="00862E3E">
        <w:t>,</w:t>
      </w:r>
      <w:r w:rsidR="007422B4">
        <w:rPr>
          <w:b/>
        </w:rPr>
        <w:t xml:space="preserve"> </w:t>
      </w:r>
      <w:r w:rsidR="007422B4">
        <w:t>banks with a more traditional “banking book of business” in the form of above median loan-to-asset ratios consistently reflect a greater incremental explanatory power for the fair value measure. As indicated, the magnitude of the adjusted R</w:t>
      </w:r>
      <w:r w:rsidR="007422B4" w:rsidRPr="00A84B1D">
        <w:rPr>
          <w:vertAlign w:val="superscript"/>
        </w:rPr>
        <w:t>2</w:t>
      </w:r>
      <w:r w:rsidR="007422B4">
        <w:t xml:space="preserve">s is higher for this subsample, and the difference between </w:t>
      </w:r>
      <w:r w:rsidR="007422B4" w:rsidRPr="00BF6B98">
        <w:rPr>
          <w:b/>
        </w:rPr>
        <w:t>FV</w:t>
      </w:r>
      <w:r w:rsidR="007422B4">
        <w:t xml:space="preserve"> and </w:t>
      </w:r>
      <w:r w:rsidR="007422B4" w:rsidRPr="00BF6B98">
        <w:rPr>
          <w:b/>
        </w:rPr>
        <w:t>GAAP</w:t>
      </w:r>
      <w:r w:rsidR="007422B4">
        <w:t xml:space="preserve"> adjusted R</w:t>
      </w:r>
      <w:r w:rsidR="007422B4" w:rsidRPr="00A84B1D">
        <w:rPr>
          <w:vertAlign w:val="superscript"/>
        </w:rPr>
        <w:t>2</w:t>
      </w:r>
      <w:r w:rsidR="007422B4">
        <w:t>s is larger. These results are consistent with the largest increase in incremental explanatory power coming from loans.</w:t>
      </w:r>
      <w:r w:rsidR="007422B4">
        <w:rPr>
          <w:rStyle w:val="FootnoteReference"/>
        </w:rPr>
        <w:footnoteReference w:id="26"/>
      </w:r>
    </w:p>
    <w:p w:rsidR="00454CD7" w:rsidRPr="009E6171" w:rsidRDefault="00CA23AB" w:rsidP="00454CD7">
      <w:pPr>
        <w:spacing w:line="480" w:lineRule="auto"/>
        <w:ind w:firstLine="720"/>
        <w:rPr>
          <w:color w:val="000000"/>
        </w:rPr>
      </w:pPr>
      <w:r>
        <w:lastRenderedPageBreak/>
        <w:t>A</w:t>
      </w:r>
      <w:r w:rsidR="00454CD7">
        <w:t xml:space="preserve"> final </w:t>
      </w:r>
      <w:r>
        <w:t>untabulated</w:t>
      </w:r>
      <w:r w:rsidR="00BF6B98">
        <w:t xml:space="preserve"> </w:t>
      </w:r>
      <w:r w:rsidR="00454CD7">
        <w:t xml:space="preserve">test of the relation between bond </w:t>
      </w:r>
      <w:proofErr w:type="gramStart"/>
      <w:r w:rsidR="00454CD7">
        <w:t>yield</w:t>
      </w:r>
      <w:proofErr w:type="gramEnd"/>
      <w:r w:rsidR="00454CD7">
        <w:t xml:space="preserve"> spreads and leverage </w:t>
      </w:r>
      <w:r w:rsidR="004D1E8D">
        <w:t>examine</w:t>
      </w:r>
      <w:r>
        <w:t>s</w:t>
      </w:r>
      <w:r w:rsidR="00454CD7">
        <w:t xml:space="preserve"> whether the explanatory power of fair value measures varies in different economic p</w:t>
      </w:r>
      <w:r>
        <w:t>eriods. Our main tests focus on the</w:t>
      </w:r>
      <w:r w:rsidR="00454CD7">
        <w:t xml:space="preserve"> time period from 1998 through 2010, with the majority of observations falling between 2003 and 2010. During this </w:t>
      </w:r>
      <w:r w:rsidR="004D1E8D">
        <w:t xml:space="preserve">latter </w:t>
      </w:r>
      <w:r w:rsidR="00454CD7">
        <w:t>period, the NBER classified December 2007 as the start of the most recent recession. Therefore, we separate the sa</w:t>
      </w:r>
      <w:r>
        <w:t>mple by transaction date into the 2003-2006</w:t>
      </w:r>
      <w:r w:rsidR="00454CD7">
        <w:t xml:space="preserve"> expansionary </w:t>
      </w:r>
      <w:proofErr w:type="gramStart"/>
      <w:r w:rsidR="00454CD7">
        <w:t>period</w:t>
      </w:r>
      <w:proofErr w:type="gramEnd"/>
      <w:r w:rsidR="00454CD7">
        <w:t xml:space="preserve"> </w:t>
      </w:r>
      <w:r>
        <w:t>versus the 2007-2010</w:t>
      </w:r>
      <w:r w:rsidR="00454CD7">
        <w:t xml:space="preserve"> recessi</w:t>
      </w:r>
      <w:r>
        <w:t>onary period</w:t>
      </w:r>
      <w:r w:rsidR="00454CD7">
        <w:t xml:space="preserve">. If fair value accounting has incremental explanatory power for banks’ credit risk, we might expect the incremental power to be larger during the recessionary period, when credit risk is more </w:t>
      </w:r>
      <w:r w:rsidR="007422B4">
        <w:t xml:space="preserve">variable and </w:t>
      </w:r>
      <w:r w:rsidR="00454CD7">
        <w:t xml:space="preserve">of a </w:t>
      </w:r>
      <w:r w:rsidR="007422B4">
        <w:t xml:space="preserve">greater </w:t>
      </w:r>
      <w:r w:rsidR="00454CD7">
        <w:t>concern. However, liquidity risk during the recessionary period that started in 2007 was particularly high, and this may result in noisier fair value measurements and a reduction in the explanatory power of fair value lever</w:t>
      </w:r>
      <w:r w:rsidR="002A1867">
        <w:t>age for credit risk. O</w:t>
      </w:r>
      <w:r w:rsidR="00454CD7">
        <w:t xml:space="preserve">ur </w:t>
      </w:r>
      <w:r w:rsidR="007422B4">
        <w:t xml:space="preserve">bond </w:t>
      </w:r>
      <w:r w:rsidR="00454CD7">
        <w:t>yield</w:t>
      </w:r>
      <w:r w:rsidR="007422B4">
        <w:t xml:space="preserve"> spread</w:t>
      </w:r>
      <w:r w:rsidR="00454CD7">
        <w:t xml:space="preserve"> regressions for each of the </w:t>
      </w:r>
      <w:r w:rsidR="002A1867">
        <w:t>two subperiods reveal</w:t>
      </w:r>
      <w:r w:rsidR="00454CD7">
        <w:t xml:space="preserve"> </w:t>
      </w:r>
      <w:r w:rsidR="004D1E8D">
        <w:t xml:space="preserve">that </w:t>
      </w:r>
      <w:r w:rsidR="007422B4">
        <w:t xml:space="preserve">the </w:t>
      </w:r>
      <w:r w:rsidR="007422B4">
        <w:rPr>
          <w:b/>
        </w:rPr>
        <w:t xml:space="preserve">FV </w:t>
      </w:r>
      <w:r w:rsidR="007422B4">
        <w:t xml:space="preserve">model consistently dominates the </w:t>
      </w:r>
      <w:r w:rsidR="007422B4">
        <w:rPr>
          <w:b/>
        </w:rPr>
        <w:t>GAAP</w:t>
      </w:r>
      <w:r w:rsidR="007422B4">
        <w:t xml:space="preserve"> model in both periods. Specifically, during the 2003-2006 expansionary period, the adjusted R</w:t>
      </w:r>
      <w:r w:rsidR="007422B4" w:rsidRPr="007665CE">
        <w:rPr>
          <w:vertAlign w:val="superscript"/>
        </w:rPr>
        <w:t>2</w:t>
      </w:r>
      <w:r w:rsidR="007422B4">
        <w:t xml:space="preserve">s for the </w:t>
      </w:r>
      <w:r w:rsidR="007422B4">
        <w:rPr>
          <w:b/>
        </w:rPr>
        <w:t xml:space="preserve">FV </w:t>
      </w:r>
      <w:r w:rsidR="007422B4">
        <w:t xml:space="preserve">and </w:t>
      </w:r>
      <w:r w:rsidR="007422B4">
        <w:rPr>
          <w:b/>
        </w:rPr>
        <w:t xml:space="preserve">GAAP </w:t>
      </w:r>
      <w:r w:rsidR="007422B4">
        <w:t>models are 0.03 versus 0.02 in univariate tests (p-value &lt; 0.01) and 0.179 versus 0.178 in multivariate tests (p-value = 0.02), respectively. During the 2007-2010  recessionary period, the adjusted R</w:t>
      </w:r>
      <w:r w:rsidR="007422B4" w:rsidRPr="007665CE">
        <w:rPr>
          <w:vertAlign w:val="superscript"/>
        </w:rPr>
        <w:t>2</w:t>
      </w:r>
      <w:r w:rsidR="007422B4">
        <w:t xml:space="preserve">s for the </w:t>
      </w:r>
      <w:r w:rsidR="007422B4">
        <w:rPr>
          <w:b/>
        </w:rPr>
        <w:t xml:space="preserve">FV </w:t>
      </w:r>
      <w:r w:rsidR="007422B4">
        <w:t xml:space="preserve">and </w:t>
      </w:r>
      <w:r w:rsidR="007422B4">
        <w:rPr>
          <w:b/>
        </w:rPr>
        <w:t xml:space="preserve">GAAP </w:t>
      </w:r>
      <w:r w:rsidR="007422B4">
        <w:t xml:space="preserve">models are 0.32 versus 0.19 in univariate tests (p-value &lt; 0.01) and 0.40 versus 0.32 in multivariate tests (p-value &lt; 0.01), respectively. Although the differences are statistically significant in both periods, the magnitude of the differences between </w:t>
      </w:r>
      <w:r w:rsidR="007422B4">
        <w:rPr>
          <w:b/>
        </w:rPr>
        <w:t xml:space="preserve">FV </w:t>
      </w:r>
      <w:r w:rsidR="007422B4">
        <w:t xml:space="preserve">and </w:t>
      </w:r>
      <w:r w:rsidR="007422B4">
        <w:rPr>
          <w:b/>
        </w:rPr>
        <w:t xml:space="preserve">GAAP </w:t>
      </w:r>
      <w:r w:rsidR="007422B4">
        <w:t>adjusted R</w:t>
      </w:r>
      <w:r w:rsidR="007422B4" w:rsidRPr="007665CE">
        <w:rPr>
          <w:vertAlign w:val="superscript"/>
        </w:rPr>
        <w:t>2</w:t>
      </w:r>
      <w:r w:rsidR="007422B4">
        <w:t xml:space="preserve">s are larger during the recessionary period. In addition, while the coefficients on </w:t>
      </w:r>
      <w:r w:rsidR="007422B4">
        <w:rPr>
          <w:b/>
        </w:rPr>
        <w:t xml:space="preserve">FV </w:t>
      </w:r>
      <w:r w:rsidR="007422B4">
        <w:t xml:space="preserve">and </w:t>
      </w:r>
      <w:r w:rsidR="007422B4">
        <w:rPr>
          <w:b/>
        </w:rPr>
        <w:t>GAAP</w:t>
      </w:r>
      <w:r w:rsidR="007422B4">
        <w:t xml:space="preserve"> in the recessionary period are positive for both univariate and multivariate tests, the coefficients on </w:t>
      </w:r>
      <w:r w:rsidR="007422B4">
        <w:rPr>
          <w:b/>
        </w:rPr>
        <w:t xml:space="preserve">FV </w:t>
      </w:r>
      <w:r w:rsidR="007422B4">
        <w:t xml:space="preserve">and </w:t>
      </w:r>
      <w:r w:rsidR="007422B4">
        <w:rPr>
          <w:b/>
        </w:rPr>
        <w:t>GAAP</w:t>
      </w:r>
      <w:r w:rsidR="007422B4">
        <w:t xml:space="preserve"> in the expansionary period are positive for univariate tests but are surprisingly negative in multivariate tests (although not statistically different from zero). The unusual coefficient signs in </w:t>
      </w:r>
      <w:r w:rsidR="007422B4">
        <w:lastRenderedPageBreak/>
        <w:t>the 2003-2006 expansionary period and the smaller magnitudes of the differences in adjusted R</w:t>
      </w:r>
      <w:r w:rsidR="007422B4" w:rsidRPr="00A13FDA">
        <w:rPr>
          <w:vertAlign w:val="superscript"/>
        </w:rPr>
        <w:t>2</w:t>
      </w:r>
      <w:r w:rsidR="007422B4">
        <w:t>s during the expansionary period as compared to the 2007-2010 recessionary period demonstrate that fair value measurements had more explanatory power for credit risk during the recent financial crisis.</w:t>
      </w:r>
      <w:r w:rsidR="00646505">
        <w:t xml:space="preserve"> </w:t>
      </w:r>
      <w:r w:rsidR="004D1E8D">
        <w:t>Our evidence</w:t>
      </w:r>
      <w:r w:rsidR="00813E76">
        <w:t>, however, cannot be generalized to make inferences</w:t>
      </w:r>
      <w:r w:rsidR="004D1E8D">
        <w:t xml:space="preserve"> on the broader issue of differential explanatory power of fair values in expansionary versus recessionary periods because </w:t>
      </w:r>
      <w:r w:rsidR="00813E76">
        <w:t>our analysis does not use data from multiple expansionary and recessionary periods</w:t>
      </w:r>
      <w:r w:rsidR="004D1E8D">
        <w:t>.</w:t>
      </w:r>
      <w:r w:rsidR="007422B4">
        <w:rPr>
          <w:rStyle w:val="FootnoteReference"/>
        </w:rPr>
        <w:footnoteReference w:id="27"/>
      </w:r>
    </w:p>
    <w:p w:rsidR="004A4B8D" w:rsidRDefault="004A4B8D" w:rsidP="004A4B8D">
      <w:pPr>
        <w:spacing w:line="480" w:lineRule="auto"/>
        <w:rPr>
          <w:b/>
        </w:rPr>
      </w:pPr>
      <w:r>
        <w:rPr>
          <w:b/>
        </w:rPr>
        <w:t>Bank Failure</w:t>
      </w:r>
      <w:r w:rsidRPr="008310DA">
        <w:rPr>
          <w:b/>
        </w:rPr>
        <w:t xml:space="preserve"> and Leverage</w:t>
      </w:r>
    </w:p>
    <w:p w:rsidR="004A4B8D" w:rsidRDefault="00442CD0" w:rsidP="004A4B8D">
      <w:pPr>
        <w:spacing w:line="480" w:lineRule="auto"/>
        <w:ind w:firstLine="720"/>
      </w:pPr>
      <w:r>
        <w:t>W</w:t>
      </w:r>
      <w:r w:rsidR="006E664A">
        <w:t xml:space="preserve">e </w:t>
      </w:r>
      <w:r w:rsidR="004A4B8D">
        <w:t>next investigate the relationship between our various leverage measures and bank failur</w:t>
      </w:r>
      <w:r>
        <w:t>e</w:t>
      </w:r>
      <w:r w:rsidR="00646505">
        <w:t xml:space="preserve">. </w:t>
      </w:r>
      <w:r w:rsidR="004A4B8D" w:rsidRPr="00693D12">
        <w:t xml:space="preserve">We </w:t>
      </w:r>
      <w:r w:rsidR="004A4B8D">
        <w:t>use</w:t>
      </w:r>
      <w:r w:rsidR="004A4B8D" w:rsidRPr="00693D12">
        <w:t xml:space="preserve"> the list of failed banks through 2010 from the FDIC website</w:t>
      </w:r>
      <w:r w:rsidR="004A4B8D" w:rsidRPr="00693D12">
        <w:rPr>
          <w:color w:val="1F497D"/>
        </w:rPr>
        <w:t xml:space="preserve"> (</w:t>
      </w:r>
      <w:hyperlink r:id="rId14" w:tgtFrame="_blank" w:history="1">
        <w:r w:rsidR="004A4B8D" w:rsidRPr="00693D12">
          <w:rPr>
            <w:color w:val="0000FF"/>
            <w:u w:val="single"/>
          </w:rPr>
          <w:t>http://www.fdic.gov/bank/individual/failed/banklist.html</w:t>
        </w:r>
      </w:hyperlink>
      <w:r w:rsidR="004A4B8D" w:rsidRPr="00693D12">
        <w:t>) and then match the commercial banks to their bank holding company parent.</w:t>
      </w:r>
      <w:r w:rsidR="008E4CAD">
        <w:t xml:space="preserve">  Of the 445 failed </w:t>
      </w:r>
      <w:r w:rsidR="00A04B7B">
        <w:t xml:space="preserve">commercial </w:t>
      </w:r>
      <w:r w:rsidR="008E4CAD">
        <w:t>banks</w:t>
      </w:r>
      <w:r w:rsidR="004A4B8D">
        <w:t>, 83 match</w:t>
      </w:r>
      <w:r w:rsidR="00281941">
        <w:t>ed</w:t>
      </w:r>
      <w:r w:rsidR="004A4B8D" w:rsidRPr="00693D12">
        <w:t xml:space="preserve"> </w:t>
      </w:r>
      <w:r w:rsidR="004A4B8D">
        <w:t>public</w:t>
      </w:r>
      <w:r w:rsidR="004A4B8D" w:rsidRPr="00693D12">
        <w:t xml:space="preserve"> bank holding companies in our sample </w:t>
      </w:r>
      <w:r w:rsidR="004A4B8D">
        <w:t>and</w:t>
      </w:r>
      <w:r w:rsidR="004A4B8D" w:rsidRPr="00693D12">
        <w:t xml:space="preserve"> 53 of them remained in our sample after data requirements</w:t>
      </w:r>
      <w:r w:rsidR="00646505">
        <w:t xml:space="preserve">. </w:t>
      </w:r>
      <w:r w:rsidR="004A4B8D">
        <w:t>All but one of these 53 bank failures occurred after 2007, suggesting the bank failures we examine are associated with the recent credit crisis</w:t>
      </w:r>
      <w:r w:rsidR="00646505">
        <w:t xml:space="preserve">. </w:t>
      </w:r>
      <w:r w:rsidR="004A4B8D">
        <w:t xml:space="preserve"> </w:t>
      </w:r>
    </w:p>
    <w:p w:rsidR="00A20173" w:rsidRDefault="00784ED4" w:rsidP="00AB31E5">
      <w:pPr>
        <w:spacing w:line="480" w:lineRule="auto"/>
        <w:ind w:firstLine="720"/>
        <w:jc w:val="center"/>
      </w:pPr>
      <w:r>
        <w:t>[INSERT TABLE 5 ABOUT HERE]</w:t>
      </w:r>
    </w:p>
    <w:p w:rsidR="004A4B8D" w:rsidRDefault="004A4B8D" w:rsidP="004A4B8D">
      <w:pPr>
        <w:spacing w:line="480" w:lineRule="auto"/>
        <w:ind w:firstLine="720"/>
      </w:pPr>
      <w:r>
        <w:t xml:space="preserve">Table 5 reports descriptive statistics on the sample of 7,028 observations for 1,067 bank holding companies (including the 53 failed banks) from 1997-2009 used for this analysis, where all variables are </w:t>
      </w:r>
      <w:proofErr w:type="spellStart"/>
      <w:r>
        <w:t>winsorized</w:t>
      </w:r>
      <w:proofErr w:type="spellEnd"/>
      <w:r>
        <w:t xml:space="preserve"> at 1</w:t>
      </w:r>
      <w:r w:rsidR="007924A6" w:rsidRPr="007924A6">
        <w:rPr>
          <w:color w:val="000000"/>
        </w:rPr>
        <w:t xml:space="preserve"> </w:t>
      </w:r>
      <w:r w:rsidR="007924A6">
        <w:rPr>
          <w:color w:val="000000"/>
        </w:rPr>
        <w:t>percent</w:t>
      </w:r>
      <w:r>
        <w:t xml:space="preserve"> and 99</w:t>
      </w:r>
      <w:r w:rsidR="007924A6" w:rsidRPr="007924A6">
        <w:rPr>
          <w:color w:val="000000"/>
        </w:rPr>
        <w:t xml:space="preserve"> </w:t>
      </w:r>
      <w:r w:rsidR="007924A6">
        <w:rPr>
          <w:color w:val="000000"/>
        </w:rPr>
        <w:t>percent</w:t>
      </w:r>
      <w:r w:rsidR="00646505">
        <w:t xml:space="preserve">. </w:t>
      </w:r>
      <w:r>
        <w:t>The mean (median) bank in this sample has assets of $6,900 ($789) million, which is substantially smaller than the bond yield sample</w:t>
      </w:r>
      <w:r w:rsidR="00646505">
        <w:t xml:space="preserve">. </w:t>
      </w:r>
      <w:r w:rsidR="00711B1D">
        <w:t>Similar to the bond yield sample,</w:t>
      </w:r>
      <w:r>
        <w:t xml:space="preserve"> </w:t>
      </w:r>
      <w:r w:rsidRPr="00561C72">
        <w:rPr>
          <w:b/>
        </w:rPr>
        <w:t>GAAP</w:t>
      </w:r>
      <w:r>
        <w:t xml:space="preserve"> has a higher mean and median </w:t>
      </w:r>
      <w:r w:rsidR="002A1867">
        <w:t xml:space="preserve">leverage </w:t>
      </w:r>
      <w:r>
        <w:t xml:space="preserve">than </w:t>
      </w:r>
      <w:r w:rsidRPr="00561C72">
        <w:rPr>
          <w:b/>
        </w:rPr>
        <w:t xml:space="preserve">FV </w:t>
      </w:r>
      <w:r>
        <w:t xml:space="preserve">and </w:t>
      </w:r>
      <w:r w:rsidRPr="00561C72">
        <w:rPr>
          <w:b/>
        </w:rPr>
        <w:t>T</w:t>
      </w:r>
      <w:r>
        <w:rPr>
          <w:b/>
        </w:rPr>
        <w:t>IER</w:t>
      </w:r>
      <w:r w:rsidRPr="00561C72">
        <w:rPr>
          <w:b/>
        </w:rPr>
        <w:t>1</w:t>
      </w:r>
      <w:r w:rsidR="00711B1D">
        <w:t>, with the difference being statistically significant</w:t>
      </w:r>
      <w:r w:rsidR="00813E76">
        <w:t xml:space="preserve"> at </w:t>
      </w:r>
      <w:r w:rsidR="00813E76">
        <w:rPr>
          <w:i/>
        </w:rPr>
        <w:t>p</w:t>
      </w:r>
      <w:r w:rsidR="00813E76">
        <w:t xml:space="preserve"> &lt; </w:t>
      </w:r>
      <w:r w:rsidR="00471B96">
        <w:t>0</w:t>
      </w:r>
      <w:r w:rsidR="00813E76">
        <w:t>.</w:t>
      </w:r>
      <w:r w:rsidR="00D30F4C">
        <w:t>01</w:t>
      </w:r>
      <w:r w:rsidR="00646505">
        <w:t xml:space="preserve">. </w:t>
      </w:r>
      <w:r>
        <w:t xml:space="preserve">In addition, the time-series </w:t>
      </w:r>
      <w:r>
        <w:lastRenderedPageBreak/>
        <w:t xml:space="preserve">standard deviation of </w:t>
      </w:r>
      <w:r w:rsidRPr="00561C72">
        <w:rPr>
          <w:b/>
        </w:rPr>
        <w:t>GAAP</w:t>
      </w:r>
      <w:r>
        <w:t xml:space="preserve"> is higher than </w:t>
      </w:r>
      <w:r w:rsidRPr="00561C72">
        <w:rPr>
          <w:b/>
        </w:rPr>
        <w:t>FV</w:t>
      </w:r>
      <w:r>
        <w:t xml:space="preserve"> </w:t>
      </w:r>
      <w:r w:rsidR="00711B1D">
        <w:t xml:space="preserve">and </w:t>
      </w:r>
      <w:r w:rsidR="00AB31E5">
        <w:rPr>
          <w:b/>
        </w:rPr>
        <w:t xml:space="preserve">TIER1 </w:t>
      </w:r>
      <w:r>
        <w:t>(2.09 versus 1.85</w:t>
      </w:r>
      <w:r w:rsidR="00711B1D">
        <w:t xml:space="preserve"> and 1.35</w:t>
      </w:r>
      <w:r>
        <w:t>, untabulated)</w:t>
      </w:r>
      <w:r w:rsidR="00711B1D">
        <w:t xml:space="preserve">, where all </w:t>
      </w:r>
      <w:r w:rsidR="00DD2734">
        <w:t>standard deviations</w:t>
      </w:r>
      <w:r w:rsidR="00711B1D">
        <w:t xml:space="preserve"> are statistically </w:t>
      </w:r>
      <w:r w:rsidR="009E474E">
        <w:t xml:space="preserve">different </w:t>
      </w:r>
      <w:r w:rsidR="00675E15">
        <w:t>from each other</w:t>
      </w:r>
      <w:r w:rsidR="00813E76" w:rsidRPr="00813E76">
        <w:t xml:space="preserve"> </w:t>
      </w:r>
      <w:r w:rsidR="00813E76">
        <w:t xml:space="preserve">at </w:t>
      </w:r>
      <w:r w:rsidR="00813E76">
        <w:rPr>
          <w:i/>
        </w:rPr>
        <w:t>p</w:t>
      </w:r>
      <w:r w:rsidR="00813E76">
        <w:t xml:space="preserve"> &lt; </w:t>
      </w:r>
      <w:r w:rsidR="00471B96">
        <w:t>0</w:t>
      </w:r>
      <w:r w:rsidR="00813E76">
        <w:t>.</w:t>
      </w:r>
      <w:r w:rsidR="00D30F4C">
        <w:t>01</w:t>
      </w:r>
      <w:r>
        <w:t>.</w:t>
      </w:r>
    </w:p>
    <w:p w:rsidR="004A4B8D" w:rsidRDefault="004A4B8D" w:rsidP="004A4B8D">
      <w:pPr>
        <w:spacing w:line="480" w:lineRule="auto"/>
        <w:ind w:firstLine="720"/>
      </w:pPr>
      <w:r>
        <w:t xml:space="preserve">To begin this analysis, we </w:t>
      </w:r>
      <w:r w:rsidR="00711B1D">
        <w:t>create plots</w:t>
      </w:r>
      <w:r>
        <w:t xml:space="preserve"> that represent the failure predictive ability of each leverage measure. In particular, we decile rank the 7,028 observations based on each of our three measures, where decile one (</w:t>
      </w:r>
      <w:r w:rsidR="00281941">
        <w:t>10</w:t>
      </w:r>
      <w:r>
        <w:t>) banks have the highest (lowest) values for a given leverage measure</w:t>
      </w:r>
      <w:r w:rsidR="00646505">
        <w:t xml:space="preserve">. </w:t>
      </w:r>
      <w:r>
        <w:t>Then we count the number of banks within each decile that failed within the next year and create a variable to capture the cumulative number of failed banks for each decile.</w:t>
      </w:r>
      <w:r>
        <w:rPr>
          <w:rStyle w:val="FootnoteReference"/>
        </w:rPr>
        <w:footnoteReference w:id="28"/>
      </w:r>
      <w:r>
        <w:t xml:space="preserve"> Scaling the cumulative number of failures by the 53 total bank failures, we construct </w:t>
      </w:r>
      <w:r w:rsidR="00711B1D">
        <w:t xml:space="preserve">plots </w:t>
      </w:r>
      <w:r>
        <w:t>to represent the cumulative distribution function of each leverage measure’s ability to predict bank failure</w:t>
      </w:r>
      <w:r w:rsidR="00646505">
        <w:t xml:space="preserve">. </w:t>
      </w:r>
    </w:p>
    <w:p w:rsidR="00A20173" w:rsidRDefault="00784ED4" w:rsidP="00AB31E5">
      <w:pPr>
        <w:spacing w:line="480" w:lineRule="auto"/>
        <w:ind w:firstLine="720"/>
        <w:jc w:val="center"/>
      </w:pPr>
      <w:r>
        <w:t>[INSERT FIGURE 3 ABOUT HERE]</w:t>
      </w:r>
    </w:p>
    <w:p w:rsidR="004A4B8D" w:rsidRDefault="004A4B8D" w:rsidP="004A4B8D">
      <w:pPr>
        <w:spacing w:line="480" w:lineRule="auto"/>
        <w:ind w:firstLine="720"/>
      </w:pPr>
      <w:r>
        <w:t xml:space="preserve">Figure 3 presents the constructed </w:t>
      </w:r>
      <w:r w:rsidR="00711B1D">
        <w:t xml:space="preserve">plots </w:t>
      </w:r>
      <w:r>
        <w:t xml:space="preserve">for one year, two years, and three years prior to failure for </w:t>
      </w:r>
      <w:r w:rsidRPr="00A2603F">
        <w:rPr>
          <w:b/>
        </w:rPr>
        <w:t>FV</w:t>
      </w:r>
      <w:r>
        <w:t xml:space="preserve">, </w:t>
      </w:r>
      <w:r w:rsidRPr="00A2603F">
        <w:rPr>
          <w:b/>
        </w:rPr>
        <w:t>GAAP</w:t>
      </w:r>
      <w:r>
        <w:t xml:space="preserve">, and </w:t>
      </w:r>
      <w:r w:rsidRPr="00A2603F">
        <w:rPr>
          <w:b/>
        </w:rPr>
        <w:t>TIER1</w:t>
      </w:r>
      <w:r w:rsidR="00646505">
        <w:t xml:space="preserve">. </w:t>
      </w:r>
      <w:r w:rsidR="002A1867">
        <w:t>F</w:t>
      </w:r>
      <w:r>
        <w:t>igure</w:t>
      </w:r>
      <w:r w:rsidR="002A1867">
        <w:t xml:space="preserve"> 3 Panel A shows </w:t>
      </w:r>
      <w:r>
        <w:t>that one year prior to failure, just over 50</w:t>
      </w:r>
      <w:r w:rsidR="007924A6" w:rsidRPr="007924A6">
        <w:rPr>
          <w:color w:val="000000"/>
        </w:rPr>
        <w:t xml:space="preserve"> </w:t>
      </w:r>
      <w:r w:rsidR="007924A6">
        <w:rPr>
          <w:color w:val="000000"/>
        </w:rPr>
        <w:t>percent</w:t>
      </w:r>
      <w:r>
        <w:t xml:space="preserve"> of the failed banks are in the lowest decile (i.e., with the highest leverage ratios) based on </w:t>
      </w:r>
      <w:r w:rsidRPr="00CF3253">
        <w:rPr>
          <w:b/>
        </w:rPr>
        <w:t>TIER1</w:t>
      </w:r>
      <w:r w:rsidR="00FF26A2" w:rsidRPr="00040545">
        <w:t>,</w:t>
      </w:r>
      <w:r w:rsidRPr="0090027C">
        <w:t xml:space="preserve"> </w:t>
      </w:r>
      <w:r>
        <w:t xml:space="preserve">but </w:t>
      </w:r>
      <w:r w:rsidR="00040545">
        <w:t xml:space="preserve">more than </w:t>
      </w:r>
      <w:r>
        <w:t>75</w:t>
      </w:r>
      <w:r w:rsidR="007924A6" w:rsidRPr="007924A6">
        <w:rPr>
          <w:color w:val="000000"/>
        </w:rPr>
        <w:t xml:space="preserve"> </w:t>
      </w:r>
      <w:r w:rsidR="007924A6">
        <w:rPr>
          <w:color w:val="000000"/>
        </w:rPr>
        <w:t>percent</w:t>
      </w:r>
      <w:r>
        <w:t xml:space="preserve"> of the failed banks are in the lowest decile based on </w:t>
      </w:r>
      <w:r w:rsidRPr="00CF3253">
        <w:rPr>
          <w:b/>
        </w:rPr>
        <w:t>FV</w:t>
      </w:r>
      <w:r w:rsidR="00646505">
        <w:t xml:space="preserve">. </w:t>
      </w:r>
      <w:r>
        <w:t xml:space="preserve"> In all three time horizons, the </w:t>
      </w:r>
      <w:r w:rsidR="00813E76">
        <w:t>plot</w:t>
      </w:r>
      <w:r w:rsidR="00D30F4C">
        <w:t>line</w:t>
      </w:r>
      <w:r w:rsidR="00813E76">
        <w:t xml:space="preserve"> </w:t>
      </w:r>
      <w:r>
        <w:t xml:space="preserve">for </w:t>
      </w:r>
      <w:r w:rsidRPr="00CF3253">
        <w:rPr>
          <w:b/>
        </w:rPr>
        <w:t>FV</w:t>
      </w:r>
      <w:r>
        <w:t xml:space="preserve"> is on top, followed by </w:t>
      </w:r>
      <w:r w:rsidRPr="00CF3253">
        <w:rPr>
          <w:b/>
        </w:rPr>
        <w:t>GAAP</w:t>
      </w:r>
      <w:r>
        <w:t xml:space="preserve">, and then </w:t>
      </w:r>
      <w:r w:rsidRPr="00CF3253">
        <w:rPr>
          <w:b/>
        </w:rPr>
        <w:t>TIER1</w:t>
      </w:r>
      <w:r>
        <w:t xml:space="preserve">, which indicates </w:t>
      </w:r>
      <w:proofErr w:type="gramStart"/>
      <w:r w:rsidRPr="00DD6712">
        <w:rPr>
          <w:b/>
        </w:rPr>
        <w:t>FV</w:t>
      </w:r>
      <w:proofErr w:type="gramEnd"/>
      <w:r>
        <w:t xml:space="preserve"> predicts a higher percentage of bank failures followed by </w:t>
      </w:r>
      <w:r w:rsidRPr="00DD6712">
        <w:rPr>
          <w:b/>
        </w:rPr>
        <w:t>GAAP</w:t>
      </w:r>
      <w:r>
        <w:t xml:space="preserve"> and </w:t>
      </w:r>
      <w:r>
        <w:rPr>
          <w:b/>
        </w:rPr>
        <w:t>T</w:t>
      </w:r>
      <w:r w:rsidR="0090027C">
        <w:rPr>
          <w:b/>
        </w:rPr>
        <w:t>IER</w:t>
      </w:r>
      <w:r w:rsidRPr="00DD6712">
        <w:rPr>
          <w:b/>
        </w:rPr>
        <w:t>1</w:t>
      </w:r>
      <w:r w:rsidR="00646505">
        <w:t xml:space="preserve">. </w:t>
      </w:r>
    </w:p>
    <w:p w:rsidR="004A4B8D" w:rsidRDefault="0090027C" w:rsidP="004A4B8D">
      <w:pPr>
        <w:spacing w:line="480" w:lineRule="auto"/>
        <w:ind w:firstLine="720"/>
      </w:pPr>
      <w:r>
        <w:t>T</w:t>
      </w:r>
      <w:r w:rsidR="004A4B8D">
        <w:t xml:space="preserve">o statistically compare the ability of each measure to predict bank failure, we estimate the Failure Predictive Ability (FPA) as the area under </w:t>
      </w:r>
      <w:r w:rsidR="00711B1D">
        <w:t>the relevant plotline</w:t>
      </w:r>
      <w:r w:rsidR="004A4B8D">
        <w:t>, following the</w:t>
      </w:r>
      <w:r w:rsidR="004A4B8D" w:rsidRPr="00C25775">
        <w:t xml:space="preserve"> </w:t>
      </w:r>
      <w:r w:rsidR="004A4B8D">
        <w:t xml:space="preserve">methodology used by </w:t>
      </w:r>
      <w:r w:rsidR="004A4B8D" w:rsidRPr="00C25775">
        <w:t>Bushman, Smith, and Wittenberg-</w:t>
      </w:r>
      <w:proofErr w:type="spellStart"/>
      <w:r w:rsidR="004A4B8D" w:rsidRPr="00C25775">
        <w:t>Moerman</w:t>
      </w:r>
      <w:proofErr w:type="spellEnd"/>
      <w:r w:rsidR="004A4B8D" w:rsidRPr="00C25775">
        <w:t xml:space="preserve"> </w:t>
      </w:r>
      <w:r w:rsidR="004A4B8D">
        <w:t>(</w:t>
      </w:r>
      <w:r w:rsidR="004A4B8D" w:rsidRPr="00C25775">
        <w:t>2010</w:t>
      </w:r>
      <w:r w:rsidR="004A4B8D">
        <w:t xml:space="preserve">) to assess relative </w:t>
      </w:r>
      <w:r w:rsidR="004A4B8D">
        <w:lastRenderedPageBreak/>
        <w:t>speeds of price discovery.</w:t>
      </w:r>
      <w:r w:rsidR="004A4B8D">
        <w:rPr>
          <w:rStyle w:val="FootnoteReference"/>
        </w:rPr>
        <w:footnoteReference w:id="29"/>
      </w:r>
      <w:r w:rsidR="004A4B8D">
        <w:t xml:space="preserve"> The </w:t>
      </w:r>
      <w:r w:rsidR="00711B1D">
        <w:t>plotline</w:t>
      </w:r>
      <w:r w:rsidR="0067736B">
        <w:t xml:space="preserve"> covering</w:t>
      </w:r>
      <w:r w:rsidR="00711B1D">
        <w:t xml:space="preserve"> </w:t>
      </w:r>
      <w:r w:rsidR="004A4B8D">
        <w:t xml:space="preserve">the largest area represents the leverage measure that dominates the other </w:t>
      </w:r>
      <w:r w:rsidR="0067736B">
        <w:t xml:space="preserve">measures </w:t>
      </w:r>
      <w:r w:rsidR="004A4B8D">
        <w:t>in their predictive ability (i.e., it provides the “earliest” failure</w:t>
      </w:r>
      <w:r w:rsidR="002A1867">
        <w:t xml:space="preserve"> prediction). T</w:t>
      </w:r>
      <w:r w:rsidR="004A4B8D">
        <w:t>able 6</w:t>
      </w:r>
      <w:r w:rsidR="002A1867">
        <w:t xml:space="preserve">, Panel A </w:t>
      </w:r>
      <w:r w:rsidR="004A4B8D" w:rsidRPr="00CF3253">
        <w:t>provide</w:t>
      </w:r>
      <w:r w:rsidR="002A1867">
        <w:t>s</w:t>
      </w:r>
      <w:r w:rsidR="004A4B8D" w:rsidRPr="00CF3253">
        <w:t xml:space="preserve"> the</w:t>
      </w:r>
      <w:r w:rsidR="004A4B8D">
        <w:t xml:space="preserve"> FPA</w:t>
      </w:r>
      <w:r w:rsidR="004A4B8D" w:rsidRPr="00CF3253">
        <w:t xml:space="preserve"> metrics and the ranking of the leverage measures' </w:t>
      </w:r>
      <w:r w:rsidR="004A4B8D">
        <w:t>FPA across the three time horizons</w:t>
      </w:r>
      <w:r w:rsidR="004A4B8D" w:rsidRPr="00CF3253">
        <w:t xml:space="preserve">. </w:t>
      </w:r>
      <w:r w:rsidR="004A4B8D">
        <w:t>In</w:t>
      </w:r>
      <w:r w:rsidR="004A4B8D" w:rsidRPr="00CF3253">
        <w:t xml:space="preserve"> </w:t>
      </w:r>
      <w:r w:rsidR="004A4B8D">
        <w:t>p</w:t>
      </w:r>
      <w:r w:rsidR="004A4B8D" w:rsidRPr="00CF3253">
        <w:t xml:space="preserve">anel B, we provide the p-values for the statistical significance of the difference </w:t>
      </w:r>
      <w:proofErr w:type="gramStart"/>
      <w:r w:rsidR="004A4B8D" w:rsidRPr="00CF3253">
        <w:t>between each leverage</w:t>
      </w:r>
      <w:proofErr w:type="gramEnd"/>
      <w:r w:rsidR="004A4B8D" w:rsidRPr="00CF3253">
        <w:t xml:space="preserve"> measure</w:t>
      </w:r>
      <w:r w:rsidR="00AA4721">
        <w:t>s’</w:t>
      </w:r>
      <w:r w:rsidR="004A4B8D" w:rsidRPr="00CF3253">
        <w:t xml:space="preserve"> </w:t>
      </w:r>
      <w:r w:rsidR="004A4B8D">
        <w:t>F</w:t>
      </w:r>
      <w:r w:rsidR="004A4B8D" w:rsidRPr="00CF3253">
        <w:t>PA</w:t>
      </w:r>
      <w:r w:rsidR="004A4B8D">
        <w:t xml:space="preserve"> based on a permutation analysis.</w:t>
      </w:r>
      <w:r w:rsidR="004A4B8D">
        <w:rPr>
          <w:rStyle w:val="FootnoteReference"/>
        </w:rPr>
        <w:footnoteReference w:id="30"/>
      </w:r>
      <w:r w:rsidR="004A4B8D">
        <w:t xml:space="preserve">  </w:t>
      </w:r>
    </w:p>
    <w:p w:rsidR="00A20173" w:rsidRDefault="00784ED4" w:rsidP="00AB31E5">
      <w:pPr>
        <w:spacing w:line="480" w:lineRule="auto"/>
        <w:ind w:firstLine="720"/>
        <w:jc w:val="center"/>
      </w:pPr>
      <w:r>
        <w:t>[INSERT TABLE 6 ABOUT HERE]</w:t>
      </w:r>
    </w:p>
    <w:p w:rsidR="004A4B8D" w:rsidRDefault="004A4B8D" w:rsidP="004A4B8D">
      <w:pPr>
        <w:spacing w:line="480" w:lineRule="auto"/>
        <w:ind w:firstLine="720"/>
      </w:pPr>
      <w:r>
        <w:t xml:space="preserve">Across all three time horizons, </w:t>
      </w:r>
      <w:r w:rsidRPr="004862DF">
        <w:rPr>
          <w:b/>
        </w:rPr>
        <w:t>FV</w:t>
      </w:r>
      <w:r>
        <w:t xml:space="preserve"> has the highest FPA</w:t>
      </w:r>
      <w:r w:rsidR="00AA4721">
        <w:t>,</w:t>
      </w:r>
      <w:r>
        <w:t xml:space="preserve"> and its FPA is statistically greater than the other FPAs at</w:t>
      </w:r>
      <w:r w:rsidR="002A1867">
        <w:t xml:space="preserve"> the p</w:t>
      </w:r>
      <w:r w:rsidR="00B06325">
        <w:t xml:space="preserve"> </w:t>
      </w:r>
      <w:r w:rsidR="002A1867">
        <w:t>&lt;</w:t>
      </w:r>
      <w:r>
        <w:t xml:space="preserve"> 0.05 level in years two and three prior to default</w:t>
      </w:r>
      <w:r w:rsidR="00646505">
        <w:t xml:space="preserve">. </w:t>
      </w:r>
      <w:r>
        <w:t xml:space="preserve">The FPA for </w:t>
      </w:r>
      <w:r w:rsidRPr="004862DF">
        <w:rPr>
          <w:b/>
        </w:rPr>
        <w:t>GAAP</w:t>
      </w:r>
      <w:r>
        <w:t xml:space="preserve"> always exceeds </w:t>
      </w:r>
      <w:r w:rsidRPr="00075EB8">
        <w:rPr>
          <w:b/>
        </w:rPr>
        <w:t>TIER1</w:t>
      </w:r>
      <w:r>
        <w:t xml:space="preserve"> but only significantly so in the third year preceding default. This indicates that a fair value leverage measure is more successful in predicting bank failures two and three years in advance than other less fair-value-based measures. There is no statistical difference in the FPA measures one year prior to bank failure.</w:t>
      </w:r>
    </w:p>
    <w:p w:rsidR="00A20173" w:rsidRDefault="00784ED4" w:rsidP="00AB31E5">
      <w:pPr>
        <w:spacing w:line="480" w:lineRule="auto"/>
        <w:ind w:firstLine="720"/>
        <w:jc w:val="center"/>
      </w:pPr>
      <w:r>
        <w:t>[INSERT TABLE 7 ABOUT HERE]</w:t>
      </w:r>
    </w:p>
    <w:p w:rsidR="004A4B8D" w:rsidRDefault="004A4B8D" w:rsidP="004A4B8D">
      <w:pPr>
        <w:spacing w:line="480" w:lineRule="auto"/>
        <w:ind w:firstLine="720"/>
      </w:pPr>
      <w:r>
        <w:t xml:space="preserve">To further investigate the relation between fair values and bank failure, we next perform univariate and multivariate </w:t>
      </w:r>
      <w:proofErr w:type="spellStart"/>
      <w:r>
        <w:t>logit</w:t>
      </w:r>
      <w:proofErr w:type="spellEnd"/>
      <w:r>
        <w:t xml:space="preserve"> regressions where the dependent variable is one for failed banks and zero otherwise and standard errors are clustered by bank</w:t>
      </w:r>
      <w:r w:rsidR="00646505">
        <w:t xml:space="preserve">. </w:t>
      </w:r>
      <w:r>
        <w:t xml:space="preserve">The univariate (multivariate) results are reported in </w:t>
      </w:r>
      <w:r w:rsidR="00AA4721">
        <w:t>T</w:t>
      </w:r>
      <w:r>
        <w:t>able 7 (8)</w:t>
      </w:r>
      <w:r w:rsidR="00646505">
        <w:t xml:space="preserve">. </w:t>
      </w:r>
      <w:r w:rsidRPr="00220449">
        <w:t>Panels A, B, and C provide the coefficients</w:t>
      </w:r>
      <w:r>
        <w:t>,</w:t>
      </w:r>
      <w:r w:rsidRPr="00220449">
        <w:t xml:space="preserve"> t-statistics</w:t>
      </w:r>
      <w:r>
        <w:t>, the pseudo R</w:t>
      </w:r>
      <w:r>
        <w:rPr>
          <w:vertAlign w:val="superscript"/>
        </w:rPr>
        <w:t>2</w:t>
      </w:r>
      <w:r>
        <w:t>, and the rank of the pseudo R</w:t>
      </w:r>
      <w:r>
        <w:rPr>
          <w:vertAlign w:val="superscript"/>
        </w:rPr>
        <w:t>2</w:t>
      </w:r>
      <w:r w:rsidRPr="00220449">
        <w:t xml:space="preserve"> from regression results for </w:t>
      </w:r>
      <w:r>
        <w:t xml:space="preserve">predicting bank failure </w:t>
      </w:r>
      <w:r w:rsidRPr="00220449">
        <w:t xml:space="preserve">one, </w:t>
      </w:r>
      <w:r w:rsidRPr="00220449">
        <w:lastRenderedPageBreak/>
        <w:t>two, and three years prior</w:t>
      </w:r>
      <w:r>
        <w:t xml:space="preserve"> to its occurrence</w:t>
      </w:r>
      <w:r w:rsidRPr="00220449">
        <w:t xml:space="preserve">, respectively. In </w:t>
      </w:r>
      <w:r>
        <w:t>p</w:t>
      </w:r>
      <w:r w:rsidRPr="00220449">
        <w:t xml:space="preserve">anel D, </w:t>
      </w:r>
      <w:r w:rsidRPr="003628EC">
        <w:t xml:space="preserve">we provide the </w:t>
      </w:r>
      <w:r w:rsidRPr="006B768C">
        <w:t>p</w:t>
      </w:r>
      <w:r w:rsidRPr="003628EC">
        <w:t>-values for the statistical significance of the difference between each leverage measure</w:t>
      </w:r>
      <w:r w:rsidR="00AA4721">
        <w:t>’s</w:t>
      </w:r>
      <w:r w:rsidRPr="003628EC">
        <w:t xml:space="preserve"> pseudo R</w:t>
      </w:r>
      <w:r w:rsidRPr="003628EC">
        <w:rPr>
          <w:vertAlign w:val="superscript"/>
        </w:rPr>
        <w:t>2</w:t>
      </w:r>
      <w:r w:rsidRPr="003628EC">
        <w:t xml:space="preserve">, </w:t>
      </w:r>
      <w:r>
        <w:t>where the p-values are constructed using</w:t>
      </w:r>
      <w:r w:rsidRPr="003628EC">
        <w:t xml:space="preserve"> </w:t>
      </w:r>
      <w:r>
        <w:t xml:space="preserve">the </w:t>
      </w:r>
      <w:r w:rsidRPr="003628EC">
        <w:t xml:space="preserve">permutation </w:t>
      </w:r>
      <w:r>
        <w:t>technique described above</w:t>
      </w:r>
      <w:r w:rsidR="00646505">
        <w:t xml:space="preserve">. </w:t>
      </w:r>
      <w:r>
        <w:t xml:space="preserve">In our multivariate analysis we include the same bank-specific control variables used in our bond yield analyses </w:t>
      </w:r>
      <w:r w:rsidRPr="00780CAD">
        <w:t xml:space="preserve">(i.e., </w:t>
      </w:r>
      <w:proofErr w:type="spellStart"/>
      <w:r w:rsidRPr="00780CAD">
        <w:rPr>
          <w:bCs/>
          <w:iCs/>
        </w:rPr>
        <w:t>NonAccrLoans</w:t>
      </w:r>
      <w:proofErr w:type="spellEnd"/>
      <w:r w:rsidRPr="00780CAD">
        <w:rPr>
          <w:bCs/>
          <w:iCs/>
        </w:rPr>
        <w:t>,</w:t>
      </w:r>
      <w:r w:rsidRPr="00780CAD">
        <w:rPr>
          <w:i/>
          <w:iCs/>
        </w:rPr>
        <w:t xml:space="preserve"> </w:t>
      </w:r>
      <w:proofErr w:type="spellStart"/>
      <w:r w:rsidRPr="00780CAD">
        <w:rPr>
          <w:bCs/>
          <w:iCs/>
        </w:rPr>
        <w:t>PastDueLoans</w:t>
      </w:r>
      <w:proofErr w:type="spellEnd"/>
      <w:r w:rsidRPr="00780CAD">
        <w:rPr>
          <w:bCs/>
          <w:iCs/>
        </w:rPr>
        <w:t>,</w:t>
      </w:r>
      <w:r w:rsidRPr="00780CAD">
        <w:t xml:space="preserve"> </w:t>
      </w:r>
      <w:r w:rsidRPr="00780CAD">
        <w:rPr>
          <w:bCs/>
          <w:iCs/>
        </w:rPr>
        <w:t xml:space="preserve">OREO, </w:t>
      </w:r>
      <w:proofErr w:type="spellStart"/>
      <w:r w:rsidRPr="00780CAD">
        <w:rPr>
          <w:bCs/>
          <w:iCs/>
        </w:rPr>
        <w:t>AbsMaturityGap</w:t>
      </w:r>
      <w:proofErr w:type="spellEnd"/>
      <w:r w:rsidRPr="00780CAD">
        <w:rPr>
          <w:bCs/>
          <w:iCs/>
        </w:rPr>
        <w:t>,</w:t>
      </w:r>
      <w:r w:rsidRPr="00780CAD">
        <w:t xml:space="preserve"> </w:t>
      </w:r>
      <w:r w:rsidRPr="00780CAD">
        <w:rPr>
          <w:bCs/>
          <w:iCs/>
        </w:rPr>
        <w:t>ROA,</w:t>
      </w:r>
      <w:r w:rsidRPr="00780CAD">
        <w:t xml:space="preserve"> </w:t>
      </w:r>
      <w:proofErr w:type="spellStart"/>
      <w:proofErr w:type="gramStart"/>
      <w:r w:rsidRPr="00780CAD">
        <w:t>LnAssets</w:t>
      </w:r>
      <w:proofErr w:type="spellEnd"/>
      <w:proofErr w:type="gramEnd"/>
      <w:r w:rsidRPr="00780CAD">
        <w:t>)</w:t>
      </w:r>
      <w:r>
        <w:t>.</w:t>
      </w:r>
    </w:p>
    <w:p w:rsidR="00A20173" w:rsidRDefault="00784ED4" w:rsidP="00AB31E5">
      <w:pPr>
        <w:spacing w:line="480" w:lineRule="auto"/>
        <w:ind w:firstLine="720"/>
        <w:jc w:val="center"/>
      </w:pPr>
      <w:r>
        <w:t>[INSERT TABLE 8 ABOUT HERE]</w:t>
      </w:r>
    </w:p>
    <w:p w:rsidR="004A4B8D" w:rsidRDefault="002A1867" w:rsidP="004A4B8D">
      <w:pPr>
        <w:spacing w:line="480" w:lineRule="auto"/>
        <w:ind w:firstLine="720"/>
        <w:rPr>
          <w:b/>
          <w:bCs/>
        </w:rPr>
      </w:pPr>
      <w:r>
        <w:rPr>
          <w:color w:val="000000"/>
        </w:rPr>
        <w:t>Similar to our FPA metric analysis, t</w:t>
      </w:r>
      <w:r w:rsidR="004A4B8D">
        <w:rPr>
          <w:color w:val="000000"/>
        </w:rPr>
        <w:t xml:space="preserve">he univariate and multivariate analyses show that </w:t>
      </w:r>
      <w:r w:rsidR="004A4B8D" w:rsidRPr="00780CAD">
        <w:rPr>
          <w:b/>
          <w:color w:val="000000"/>
        </w:rPr>
        <w:t>FV</w:t>
      </w:r>
      <w:r w:rsidR="004A4B8D">
        <w:rPr>
          <w:color w:val="000000"/>
        </w:rPr>
        <w:t xml:space="preserve"> dominates the other less fair-value-based leverage measures two and three years prior to bank failure, again demonstrating the importance of including the fair value of all financial instruments in calculating leverage</w:t>
      </w:r>
      <w:r w:rsidR="00646505">
        <w:rPr>
          <w:color w:val="000000"/>
        </w:rPr>
        <w:t xml:space="preserve">. </w:t>
      </w:r>
      <w:r w:rsidR="004A4B8D">
        <w:rPr>
          <w:color w:val="000000"/>
        </w:rPr>
        <w:t>One year prior to failure</w:t>
      </w:r>
      <w:r w:rsidR="00AA4721">
        <w:rPr>
          <w:color w:val="000000"/>
        </w:rPr>
        <w:t>,</w:t>
      </w:r>
      <w:r w:rsidR="004A4B8D">
        <w:rPr>
          <w:color w:val="000000"/>
        </w:rPr>
        <w:t xml:space="preserve"> </w:t>
      </w:r>
      <w:r w:rsidR="004A4B8D" w:rsidRPr="004724A1">
        <w:rPr>
          <w:b/>
          <w:color w:val="000000"/>
        </w:rPr>
        <w:t>FV</w:t>
      </w:r>
      <w:r w:rsidR="004A4B8D">
        <w:rPr>
          <w:color w:val="000000"/>
        </w:rPr>
        <w:t xml:space="preserve"> and </w:t>
      </w:r>
      <w:r w:rsidR="004A4B8D" w:rsidRPr="004724A1">
        <w:rPr>
          <w:b/>
          <w:color w:val="000000"/>
        </w:rPr>
        <w:t>GAAP</w:t>
      </w:r>
      <w:r w:rsidR="004A4B8D">
        <w:rPr>
          <w:color w:val="000000"/>
        </w:rPr>
        <w:t xml:space="preserve"> have no statistically significant difference in predictive power</w:t>
      </w:r>
      <w:r w:rsidR="00646505">
        <w:rPr>
          <w:color w:val="000000"/>
        </w:rPr>
        <w:t xml:space="preserve">. </w:t>
      </w:r>
      <w:r w:rsidR="004A4B8D">
        <w:rPr>
          <w:color w:val="000000"/>
        </w:rPr>
        <w:t>Notably, three years prior to failure</w:t>
      </w:r>
      <w:r w:rsidR="00AA4721">
        <w:rPr>
          <w:color w:val="000000"/>
        </w:rPr>
        <w:t>,</w:t>
      </w:r>
      <w:r w:rsidR="004A4B8D">
        <w:rPr>
          <w:color w:val="000000"/>
        </w:rPr>
        <w:t xml:space="preserve"> </w:t>
      </w:r>
      <w:r w:rsidR="004A4B8D" w:rsidRPr="003C7A70">
        <w:rPr>
          <w:b/>
          <w:color w:val="000000"/>
        </w:rPr>
        <w:t>TIER1</w:t>
      </w:r>
      <w:r w:rsidR="004A4B8D">
        <w:rPr>
          <w:color w:val="000000"/>
        </w:rPr>
        <w:t xml:space="preserve"> is </w:t>
      </w:r>
      <w:r w:rsidR="004A4B8D" w:rsidRPr="003C7A70">
        <w:rPr>
          <w:i/>
          <w:color w:val="000000"/>
        </w:rPr>
        <w:t>negatively</w:t>
      </w:r>
      <w:r w:rsidR="004A4B8D">
        <w:rPr>
          <w:color w:val="000000"/>
        </w:rPr>
        <w:t xml:space="preserve"> associated with bank failure in both specifications.</w:t>
      </w:r>
      <w:r w:rsidR="004A4B8D">
        <w:rPr>
          <w:rStyle w:val="FootnoteReference"/>
          <w:color w:val="000000"/>
        </w:rPr>
        <w:footnoteReference w:id="31"/>
      </w:r>
      <w:r w:rsidR="004A4B8D">
        <w:rPr>
          <w:color w:val="000000"/>
        </w:rPr>
        <w:t xml:space="preserve">  This is surprising but arguably consistent with our finding reported earlier in the paper of a negative relationship between </w:t>
      </w:r>
      <w:r w:rsidR="004A4B8D" w:rsidRPr="003C7A70">
        <w:rPr>
          <w:b/>
          <w:color w:val="000000"/>
        </w:rPr>
        <w:t xml:space="preserve">TIER1 </w:t>
      </w:r>
      <w:r w:rsidR="004A4B8D">
        <w:rPr>
          <w:color w:val="000000"/>
        </w:rPr>
        <w:t>and bond yield spreads.</w:t>
      </w:r>
      <w:r w:rsidR="004A4B8D">
        <w:rPr>
          <w:rStyle w:val="FootnoteReference"/>
          <w:color w:val="000000"/>
        </w:rPr>
        <w:footnoteReference w:id="32"/>
      </w:r>
      <w:r w:rsidR="004A4B8D" w:rsidRPr="00F05DE6">
        <w:t xml:space="preserve"> </w:t>
      </w:r>
    </w:p>
    <w:p w:rsidR="001002FA" w:rsidRDefault="001002FA" w:rsidP="00A12689">
      <w:pPr>
        <w:jc w:val="center"/>
        <w:rPr>
          <w:b/>
          <w:bCs/>
        </w:rPr>
      </w:pPr>
      <w:r w:rsidRPr="006375F8">
        <w:rPr>
          <w:b/>
          <w:bCs/>
        </w:rPr>
        <w:t>V. CONCLUSION</w:t>
      </w:r>
    </w:p>
    <w:p w:rsidR="001002FA" w:rsidRPr="006375F8" w:rsidRDefault="001002FA" w:rsidP="00A12689">
      <w:pPr>
        <w:jc w:val="center"/>
        <w:rPr>
          <w:b/>
          <w:bCs/>
        </w:rPr>
      </w:pPr>
    </w:p>
    <w:p w:rsidR="001002FA" w:rsidRDefault="001002FA" w:rsidP="00C24489">
      <w:pPr>
        <w:spacing w:line="480" w:lineRule="auto"/>
        <w:ind w:firstLine="720"/>
      </w:pPr>
      <w:r>
        <w:t xml:space="preserve">In this study we compare the ability of </w:t>
      </w:r>
      <w:r w:rsidR="005458FF">
        <w:t xml:space="preserve">leverage measured under different methods of accounting for </w:t>
      </w:r>
      <w:r w:rsidR="00CF4817">
        <w:t>financial instruments</w:t>
      </w:r>
      <w:r>
        <w:t xml:space="preserve"> to reflect credit risk within the banking industry</w:t>
      </w:r>
      <w:r w:rsidR="00646505">
        <w:t xml:space="preserve">. </w:t>
      </w:r>
      <w:r>
        <w:t xml:space="preserve">Specifically, we </w:t>
      </w:r>
      <w:r w:rsidR="0069788B">
        <w:t>examine</w:t>
      </w:r>
      <w:r>
        <w:t xml:space="preserve"> whether credit risk is explained </w:t>
      </w:r>
      <w:r w:rsidR="00CF4817">
        <w:t xml:space="preserve">best </w:t>
      </w:r>
      <w:r>
        <w:t xml:space="preserve">by </w:t>
      </w:r>
      <w:r w:rsidR="005458FF">
        <w:t xml:space="preserve">a leverage </w:t>
      </w:r>
      <w:r w:rsidR="00CC09EB">
        <w:t>ratio</w:t>
      </w:r>
      <w:r w:rsidR="00BF7C85">
        <w:t xml:space="preserve"> </w:t>
      </w:r>
      <w:r w:rsidR="00533E66">
        <w:t xml:space="preserve">where </w:t>
      </w:r>
      <w:r>
        <w:t xml:space="preserve">financial instruments </w:t>
      </w:r>
      <w:r w:rsidR="00533E66">
        <w:t xml:space="preserve">are </w:t>
      </w:r>
      <w:r w:rsidR="00CC09EB">
        <w:t xml:space="preserve">measured at </w:t>
      </w:r>
      <w:r w:rsidR="00533E66">
        <w:t>1)</w:t>
      </w:r>
      <w:r w:rsidR="00BF7C85">
        <w:t xml:space="preserve"> </w:t>
      </w:r>
      <w:r>
        <w:t>fair value</w:t>
      </w:r>
      <w:r w:rsidR="00032A8E">
        <w:t>;</w:t>
      </w:r>
      <w:r>
        <w:t xml:space="preserve"> </w:t>
      </w:r>
      <w:r w:rsidR="00533E66">
        <w:t xml:space="preserve">2) </w:t>
      </w:r>
      <w:r w:rsidR="00BF7C85">
        <w:t>fair value</w:t>
      </w:r>
      <w:r w:rsidR="00513EA4">
        <w:t>s</w:t>
      </w:r>
      <w:r w:rsidR="00BF7C85">
        <w:t xml:space="preserve"> and historical </w:t>
      </w:r>
      <w:r w:rsidR="00CF4817">
        <w:t>(</w:t>
      </w:r>
      <w:r w:rsidR="00EF2689">
        <w:t>amortized</w:t>
      </w:r>
      <w:r w:rsidR="00CF4817">
        <w:t>)</w:t>
      </w:r>
      <w:r w:rsidR="00EF2689">
        <w:t xml:space="preserve"> </w:t>
      </w:r>
      <w:r w:rsidR="00BF7C85">
        <w:t>cost</w:t>
      </w:r>
      <w:r w:rsidR="00E71B31">
        <w:t>s</w:t>
      </w:r>
      <w:r w:rsidR="00CF4817">
        <w:t xml:space="preserve"> </w:t>
      </w:r>
      <w:r w:rsidR="00CC09EB">
        <w:t>consistent with</w:t>
      </w:r>
      <w:r>
        <w:t xml:space="preserve"> current GAAP</w:t>
      </w:r>
      <w:r w:rsidR="00032A8E">
        <w:t>;</w:t>
      </w:r>
      <w:r w:rsidR="00235A2F">
        <w:t xml:space="preserve"> or</w:t>
      </w:r>
      <w:r w:rsidR="00CE6485">
        <w:t xml:space="preserve"> </w:t>
      </w:r>
      <w:r w:rsidR="00F75DBC">
        <w:t>3</w:t>
      </w:r>
      <w:r w:rsidR="00CC09EB">
        <w:t xml:space="preserve">) </w:t>
      </w:r>
      <w:r w:rsidR="00A41B99">
        <w:t xml:space="preserve">fewer </w:t>
      </w:r>
      <w:r w:rsidR="00CE6485">
        <w:t>fair</w:t>
      </w:r>
      <w:r w:rsidR="00E71B31">
        <w:t xml:space="preserve"> </w:t>
      </w:r>
      <w:r w:rsidR="00CE6485">
        <w:t>value</w:t>
      </w:r>
      <w:r w:rsidR="00CC09EB">
        <w:t>s and more historical cost</w:t>
      </w:r>
      <w:r w:rsidR="00513EA4">
        <w:t>s</w:t>
      </w:r>
      <w:r w:rsidR="00CE6485">
        <w:t xml:space="preserve"> consistent with </w:t>
      </w:r>
      <w:r w:rsidR="00CE6485">
        <w:lastRenderedPageBreak/>
        <w:t xml:space="preserve">Tier 1 </w:t>
      </w:r>
      <w:r w:rsidR="003261E3">
        <w:t xml:space="preserve">regulatory </w:t>
      </w:r>
      <w:r w:rsidR="00CE6485">
        <w:t>capital</w:t>
      </w:r>
      <w:r w:rsidR="00646505">
        <w:t xml:space="preserve">. </w:t>
      </w:r>
      <w:r>
        <w:t xml:space="preserve"> We </w:t>
      </w:r>
      <w:r w:rsidR="00235A2F">
        <w:t>consider</w:t>
      </w:r>
      <w:r>
        <w:t xml:space="preserve"> bond yield spread</w:t>
      </w:r>
      <w:r w:rsidR="00647D3A">
        <w:t xml:space="preserve"> and bank </w:t>
      </w:r>
      <w:r w:rsidR="00F75DBC">
        <w:t>failure</w:t>
      </w:r>
      <w:r w:rsidR="00235A2F">
        <w:t xml:space="preserve"> as measures of credit risk</w:t>
      </w:r>
      <w:r w:rsidR="00646505">
        <w:t xml:space="preserve">. </w:t>
      </w:r>
      <w:r>
        <w:t xml:space="preserve">Our study is motivated by the need to understand the extent to which fair values can describe credit risk within the banking industry given </w:t>
      </w:r>
      <w:r w:rsidR="00647D3A">
        <w:t>the current debate over how financial instruments should be measured in the financial statements</w:t>
      </w:r>
      <w:r>
        <w:t xml:space="preserve">. </w:t>
      </w:r>
    </w:p>
    <w:p w:rsidR="00F031B6" w:rsidRDefault="001002FA" w:rsidP="00F031B6">
      <w:pPr>
        <w:spacing w:line="480" w:lineRule="auto"/>
        <w:ind w:firstLine="720"/>
      </w:pPr>
      <w:r>
        <w:t>Our findings</w:t>
      </w:r>
      <w:r w:rsidR="00380E6E">
        <w:t>, generally over the years 1998 through 2009,</w:t>
      </w:r>
      <w:r>
        <w:t xml:space="preserve"> </w:t>
      </w:r>
      <w:r w:rsidR="009E2B45">
        <w:t xml:space="preserve">demonstrate that the relationship between </w:t>
      </w:r>
      <w:r w:rsidR="00EF2689">
        <w:t xml:space="preserve">credit risk and leverage </w:t>
      </w:r>
      <w:r w:rsidR="009E2B45">
        <w:t xml:space="preserve">gets stronger </w:t>
      </w:r>
      <w:r w:rsidR="00EF2689">
        <w:t xml:space="preserve">as </w:t>
      </w:r>
      <w:r w:rsidR="00CE5DB8">
        <w:t>the amount of financial instruments measured at fair value increases</w:t>
      </w:r>
      <w:r w:rsidR="00EF2689">
        <w:t xml:space="preserve">. </w:t>
      </w:r>
      <w:r w:rsidR="00380E6E">
        <w:t xml:space="preserve">The results on our </w:t>
      </w:r>
      <w:r w:rsidR="00F75DBC">
        <w:t>80,393</w:t>
      </w:r>
      <w:r w:rsidR="00380E6E">
        <w:t xml:space="preserve"> bank bond yield spreads are the most compelling</w:t>
      </w:r>
      <w:r w:rsidR="00646505">
        <w:t xml:space="preserve">. </w:t>
      </w:r>
      <w:r w:rsidR="00023389">
        <w:t xml:space="preserve">In both </w:t>
      </w:r>
      <w:r w:rsidR="00380E6E">
        <w:rPr>
          <w:color w:val="000000"/>
        </w:rPr>
        <w:t>univariate and multivariate analys</w:t>
      </w:r>
      <w:r w:rsidR="00023389">
        <w:rPr>
          <w:color w:val="000000"/>
        </w:rPr>
        <w:t>es</w:t>
      </w:r>
      <w:r w:rsidR="00380E6E">
        <w:rPr>
          <w:color w:val="000000"/>
        </w:rPr>
        <w:t xml:space="preserve"> we find that </w:t>
      </w:r>
      <w:r w:rsidR="00322775">
        <w:rPr>
          <w:color w:val="000000"/>
        </w:rPr>
        <w:t xml:space="preserve">leverage measured with financial instruments at </w:t>
      </w:r>
      <w:r w:rsidR="00023389">
        <w:rPr>
          <w:color w:val="000000"/>
        </w:rPr>
        <w:t xml:space="preserve">fair value </w:t>
      </w:r>
      <w:r w:rsidR="00322775">
        <w:rPr>
          <w:color w:val="000000"/>
        </w:rPr>
        <w:t xml:space="preserve">has </w:t>
      </w:r>
      <w:r w:rsidR="00E71B31">
        <w:rPr>
          <w:color w:val="000000"/>
        </w:rPr>
        <w:t xml:space="preserve">a </w:t>
      </w:r>
      <w:r w:rsidR="006E612E">
        <w:rPr>
          <w:color w:val="000000"/>
        </w:rPr>
        <w:t xml:space="preserve">statistically </w:t>
      </w:r>
      <w:r w:rsidR="00322775">
        <w:rPr>
          <w:color w:val="000000"/>
        </w:rPr>
        <w:t>greater ability to explain bond yield spreads relative to the other less fair</w:t>
      </w:r>
      <w:r w:rsidR="00E71B31">
        <w:rPr>
          <w:color w:val="000000"/>
        </w:rPr>
        <w:t>-</w:t>
      </w:r>
      <w:r w:rsidR="00322775">
        <w:rPr>
          <w:color w:val="000000"/>
        </w:rPr>
        <w:t>value</w:t>
      </w:r>
      <w:r w:rsidR="007B4C95">
        <w:rPr>
          <w:color w:val="000000"/>
        </w:rPr>
        <w:t>-</w:t>
      </w:r>
      <w:r w:rsidR="00322775">
        <w:rPr>
          <w:color w:val="000000"/>
        </w:rPr>
        <w:t xml:space="preserve">based </w:t>
      </w:r>
      <w:r w:rsidR="00A27C99">
        <w:rPr>
          <w:color w:val="000000"/>
        </w:rPr>
        <w:t xml:space="preserve">leverage </w:t>
      </w:r>
      <w:r w:rsidR="00322775">
        <w:rPr>
          <w:color w:val="000000"/>
        </w:rPr>
        <w:t>measure</w:t>
      </w:r>
      <w:r w:rsidR="00A27C99">
        <w:rPr>
          <w:color w:val="000000"/>
        </w:rPr>
        <w:t>s</w:t>
      </w:r>
      <w:r w:rsidR="00E71B31">
        <w:rPr>
          <w:color w:val="000000"/>
        </w:rPr>
        <w:t>,</w:t>
      </w:r>
      <w:r w:rsidR="00A27C99">
        <w:rPr>
          <w:color w:val="000000"/>
        </w:rPr>
        <w:t xml:space="preserve"> and the differential ability appears to be economically meaningful</w:t>
      </w:r>
      <w:r w:rsidR="00646505">
        <w:rPr>
          <w:color w:val="000000"/>
        </w:rPr>
        <w:t xml:space="preserve">. </w:t>
      </w:r>
      <w:r w:rsidR="00C06935">
        <w:rPr>
          <w:color w:val="000000"/>
        </w:rPr>
        <w:t xml:space="preserve">We also demonstrate that most of the additional explanatory power of fair value leverage comes from </w:t>
      </w:r>
      <w:r w:rsidR="00040545">
        <w:rPr>
          <w:color w:val="000000"/>
        </w:rPr>
        <w:t xml:space="preserve">the fair values of </w:t>
      </w:r>
      <w:r w:rsidR="00C06935">
        <w:rPr>
          <w:color w:val="000000"/>
        </w:rPr>
        <w:t>loans</w:t>
      </w:r>
      <w:r w:rsidR="007B4C95">
        <w:rPr>
          <w:color w:val="000000"/>
        </w:rPr>
        <w:t xml:space="preserve"> followed by deposits</w:t>
      </w:r>
      <w:r w:rsidR="00C06935">
        <w:rPr>
          <w:color w:val="000000"/>
        </w:rPr>
        <w:t>.</w:t>
      </w:r>
      <w:r w:rsidR="00380E6E">
        <w:rPr>
          <w:color w:val="000000"/>
        </w:rPr>
        <w:t xml:space="preserve"> </w:t>
      </w:r>
      <w:r w:rsidR="00F031B6">
        <w:rPr>
          <w:color w:val="000000"/>
        </w:rPr>
        <w:t xml:space="preserve">In addition, </w:t>
      </w:r>
      <w:r w:rsidR="00F031B6">
        <w:t>our results hold for both complex banks and banks with more traditional books of business</w:t>
      </w:r>
      <w:r w:rsidR="00235A2F">
        <w:t>, primarily loans and deposits,</w:t>
      </w:r>
      <w:r w:rsidR="00F031B6">
        <w:t xml:space="preserve"> and within both the expansionary and recessionary phase</w:t>
      </w:r>
      <w:r w:rsidR="00235A2F">
        <w:t>s of our test period. The strongest results occur</w:t>
      </w:r>
      <w:r w:rsidR="00F031B6">
        <w:t xml:space="preserve"> for banks with more traditional books of business and during the recessionary phase of the most recent cycle. </w:t>
      </w:r>
    </w:p>
    <w:p w:rsidR="00380E6E" w:rsidRDefault="004F3102" w:rsidP="00380E6E">
      <w:pPr>
        <w:spacing w:line="480" w:lineRule="auto"/>
        <w:ind w:firstLine="720"/>
      </w:pPr>
      <w:r>
        <w:t xml:space="preserve">The results of our bank </w:t>
      </w:r>
      <w:r w:rsidR="00F75DBC">
        <w:t xml:space="preserve">failure </w:t>
      </w:r>
      <w:r>
        <w:t xml:space="preserve">tests on </w:t>
      </w:r>
      <w:r w:rsidR="00F75DBC">
        <w:t>7,028</w:t>
      </w:r>
      <w:r w:rsidR="00380E6E">
        <w:t xml:space="preserve"> observ</w:t>
      </w:r>
      <w:r>
        <w:t xml:space="preserve">ations </w:t>
      </w:r>
      <w:r w:rsidR="00380E6E">
        <w:t xml:space="preserve">demonstrate that in both two </w:t>
      </w:r>
      <w:r w:rsidR="00E71B31">
        <w:t xml:space="preserve">years </w:t>
      </w:r>
      <w:r w:rsidR="00380E6E">
        <w:t xml:space="preserve">and three years before </w:t>
      </w:r>
      <w:r w:rsidR="00F75DBC">
        <w:t xml:space="preserve">failure </w:t>
      </w:r>
      <w:r w:rsidR="00FD2CE5">
        <w:t xml:space="preserve">the </w:t>
      </w:r>
      <w:r w:rsidR="00380E6E">
        <w:t xml:space="preserve">fair value leverage measure dominates the other leverage measures in predicting </w:t>
      </w:r>
      <w:r w:rsidR="00F75DBC">
        <w:t>failure</w:t>
      </w:r>
      <w:r>
        <w:t>. This result is statistically significant</w:t>
      </w:r>
      <w:r w:rsidR="00380E6E">
        <w:t xml:space="preserve"> </w:t>
      </w:r>
      <w:r w:rsidR="00C0093F">
        <w:t xml:space="preserve">across various </w:t>
      </w:r>
      <w:r w:rsidR="00380E6E">
        <w:t>univariate and multivariate analys</w:t>
      </w:r>
      <w:r w:rsidR="00C0093F">
        <w:t>e</w:t>
      </w:r>
      <w:r w:rsidR="00380E6E">
        <w:t>s</w:t>
      </w:r>
      <w:r w:rsidR="00646505">
        <w:t xml:space="preserve">. </w:t>
      </w:r>
      <w:r w:rsidR="00F05DE6">
        <w:t xml:space="preserve"> </w:t>
      </w:r>
    </w:p>
    <w:p w:rsidR="00FD2CE5" w:rsidRDefault="001002FA" w:rsidP="009A2712">
      <w:pPr>
        <w:spacing w:line="480" w:lineRule="auto"/>
        <w:ind w:firstLine="720"/>
      </w:pPr>
      <w:r>
        <w:t xml:space="preserve">Overall, our study provides evidence to standard setters that leverage </w:t>
      </w:r>
      <w:r w:rsidR="001E2447">
        <w:t xml:space="preserve">ratios </w:t>
      </w:r>
      <w:r>
        <w:t>based on fair values of all financial instruments</w:t>
      </w:r>
      <w:r w:rsidR="00C06935">
        <w:t xml:space="preserve"> </w:t>
      </w:r>
      <w:r>
        <w:t>describe a bank’s credit risk</w:t>
      </w:r>
      <w:r w:rsidR="00C06935">
        <w:t xml:space="preserve"> better than GAAP or Tier 1 capital leverage ratios</w:t>
      </w:r>
      <w:r w:rsidR="00646505">
        <w:t xml:space="preserve">. </w:t>
      </w:r>
      <w:r>
        <w:t>This</w:t>
      </w:r>
      <w:r w:rsidR="008317DD">
        <w:t xml:space="preserve"> </w:t>
      </w:r>
      <w:r>
        <w:t xml:space="preserve">evidence suggests that banks’ financial statements </w:t>
      </w:r>
      <w:r w:rsidR="00FD2CE5">
        <w:t xml:space="preserve">with financial </w:t>
      </w:r>
      <w:r w:rsidR="00FD2CE5">
        <w:lastRenderedPageBreak/>
        <w:t xml:space="preserve">instruments </w:t>
      </w:r>
      <w:r w:rsidR="00357015">
        <w:t>measured at</w:t>
      </w:r>
      <w:r>
        <w:t xml:space="preserve"> fair values</w:t>
      </w:r>
      <w:r w:rsidR="00FD2CE5">
        <w:t>, including loans, deposits, debt, and held-to-maturity securities,</w:t>
      </w:r>
      <w:r>
        <w:t xml:space="preserve"> are </w:t>
      </w:r>
      <w:r w:rsidR="00357015">
        <w:t>mo</w:t>
      </w:r>
      <w:r w:rsidR="00C06935">
        <w:t>re</w:t>
      </w:r>
      <w:r w:rsidR="00357015">
        <w:t xml:space="preserve"> </w:t>
      </w:r>
      <w:r>
        <w:t xml:space="preserve">descriptive of </w:t>
      </w:r>
      <w:r w:rsidR="00211B90">
        <w:t xml:space="preserve">the credit risk inherent in the </w:t>
      </w:r>
      <w:r>
        <w:t>business model</w:t>
      </w:r>
      <w:r w:rsidR="00211B90">
        <w:t xml:space="preserve"> of banks</w:t>
      </w:r>
      <w:r w:rsidR="00FD2CE5">
        <w:t xml:space="preserve"> than the current GAAP financial statements</w:t>
      </w:r>
      <w:r w:rsidR="00646505">
        <w:t xml:space="preserve">. </w:t>
      </w:r>
      <w:r w:rsidR="005079B7">
        <w:t xml:space="preserve"> </w:t>
      </w:r>
    </w:p>
    <w:p w:rsidR="00E03589" w:rsidRPr="002761AE" w:rsidRDefault="001002FA" w:rsidP="009A2712">
      <w:pPr>
        <w:spacing w:line="480" w:lineRule="auto"/>
        <w:ind w:firstLine="720"/>
      </w:pPr>
      <w:r w:rsidRPr="002761AE">
        <w:t>In light of our results</w:t>
      </w:r>
      <w:r>
        <w:t>,</w:t>
      </w:r>
      <w:r w:rsidRPr="002761AE">
        <w:t xml:space="preserve"> it is interesting that the ABA concluded based on interviews with bank financial statement user groups that users find the existing mixed-attribute </w:t>
      </w:r>
      <w:r w:rsidR="00E2112B">
        <w:t xml:space="preserve">model </w:t>
      </w:r>
      <w:r w:rsidR="00211B90">
        <w:t xml:space="preserve">most </w:t>
      </w:r>
      <w:r w:rsidRPr="002761AE">
        <w:t xml:space="preserve">reflective of banks’ business models and </w:t>
      </w:r>
      <w:r w:rsidR="00E2112B">
        <w:t>as a result</w:t>
      </w:r>
      <w:r w:rsidRPr="002761AE">
        <w:t xml:space="preserve"> user</w:t>
      </w:r>
      <w:r w:rsidR="00E2112B">
        <w:t>s</w:t>
      </w:r>
      <w:r w:rsidRPr="002761AE">
        <w:t xml:space="preserve"> “were generally strongly in favor of mixed-attribute presentation on the face of the financials” (ABA 200</w:t>
      </w:r>
      <w:r>
        <w:t>6</w:t>
      </w:r>
      <w:r w:rsidR="00235A2F">
        <w:t>,</w:t>
      </w:r>
      <w:r w:rsidRPr="002761AE">
        <w:t xml:space="preserve"> 4)</w:t>
      </w:r>
      <w:r w:rsidR="00646505">
        <w:t xml:space="preserve">. </w:t>
      </w:r>
      <w:r w:rsidRPr="002761AE">
        <w:t xml:space="preserve">The ABA also reported that some </w:t>
      </w:r>
      <w:r w:rsidR="00E2112B">
        <w:t xml:space="preserve">users </w:t>
      </w:r>
      <w:r w:rsidRPr="002761AE">
        <w:t xml:space="preserve">even called for a return to a full historical cost model. Our study should be </w:t>
      </w:r>
      <w:r>
        <w:t>of interest</w:t>
      </w:r>
      <w:r w:rsidR="005D7B62">
        <w:t xml:space="preserve"> to </w:t>
      </w:r>
      <w:r w:rsidR="00F123B8">
        <w:t xml:space="preserve">those interviewed </w:t>
      </w:r>
      <w:r w:rsidRPr="002761AE">
        <w:t xml:space="preserve">because we provide </w:t>
      </w:r>
      <w:r>
        <w:t xml:space="preserve">large sample </w:t>
      </w:r>
      <w:r w:rsidRPr="002761AE">
        <w:t xml:space="preserve">evidence that </w:t>
      </w:r>
      <w:r>
        <w:t xml:space="preserve">leverage </w:t>
      </w:r>
      <w:r w:rsidR="00E2112B">
        <w:t>measured using</w:t>
      </w:r>
      <w:r>
        <w:t xml:space="preserve"> </w:t>
      </w:r>
      <w:r w:rsidRPr="002761AE">
        <w:t xml:space="preserve">fair values </w:t>
      </w:r>
      <w:r w:rsidR="00E2112B">
        <w:t>for all</w:t>
      </w:r>
      <w:r>
        <w:t xml:space="preserve"> financial instruments is</w:t>
      </w:r>
      <w:r w:rsidRPr="002761AE">
        <w:t xml:space="preserve"> more </w:t>
      </w:r>
      <w:r>
        <w:t>descriptive of</w:t>
      </w:r>
      <w:r w:rsidRPr="002761AE">
        <w:t xml:space="preserve"> credit risk </w:t>
      </w:r>
      <w:r>
        <w:t>than leverage calculated under the</w:t>
      </w:r>
      <w:r w:rsidRPr="002761AE">
        <w:t xml:space="preserve"> </w:t>
      </w:r>
      <w:r>
        <w:t>currently reported</w:t>
      </w:r>
      <w:r w:rsidRPr="002761AE">
        <w:t xml:space="preserve"> mixed</w:t>
      </w:r>
      <w:r>
        <w:t>-</w:t>
      </w:r>
      <w:r w:rsidRPr="002761AE">
        <w:t xml:space="preserve">attribute </w:t>
      </w:r>
      <w:r>
        <w:t>model</w:t>
      </w:r>
      <w:r w:rsidRPr="002761AE">
        <w:t>.</w:t>
      </w:r>
      <w:r w:rsidR="009A2712">
        <w:t xml:space="preserve"> </w:t>
      </w:r>
    </w:p>
    <w:p w:rsidR="003E678C" w:rsidRDefault="00235A2F" w:rsidP="003E678C">
      <w:pPr>
        <w:spacing w:line="480" w:lineRule="auto"/>
        <w:ind w:firstLine="720"/>
      </w:pPr>
      <w:r>
        <w:t>Our results indicate</w:t>
      </w:r>
      <w:r w:rsidR="003E678C">
        <w:t xml:space="preserve"> that the current Tier 1 capital leverage ratio generally is least descriptive of credit risk and, in some instances, even has a negative relationship with credit risk</w:t>
      </w:r>
      <w:r>
        <w:t>. These results</w:t>
      </w:r>
      <w:r w:rsidR="003E678C">
        <w:t xml:space="preserve"> suggest that the current adjustments being made to arrive at regulatory capital may be hampering bank regulators’ ability to detect credit risk problems</w:t>
      </w:r>
      <w:r w:rsidR="00646505">
        <w:t xml:space="preserve">. </w:t>
      </w:r>
      <w:r w:rsidR="003E678C">
        <w:t xml:space="preserve">As one response to the </w:t>
      </w:r>
      <w:r w:rsidR="005D7B62">
        <w:t>recent</w:t>
      </w:r>
      <w:r w:rsidR="003E678C">
        <w:t xml:space="preserve"> credit crisis, bank regulators appear to be recognizing this issue by proposing to no longer reverse the effects of unrealized gains and losses on all AFS securities in determining regulatory capital (Basel 2011). </w:t>
      </w:r>
      <w:r w:rsidR="00D21950">
        <w:t>However</w:t>
      </w:r>
      <w:r w:rsidR="003E678C">
        <w:t>, our results suggest that including loans and deposits at fair value would have the greatest effect in improving the ability of Tier 1 regulatory capital to reflect credit risk in banks</w:t>
      </w:r>
      <w:r w:rsidR="00646505">
        <w:t xml:space="preserve">. </w:t>
      </w:r>
      <w:r w:rsidR="003E678C" w:rsidDel="005A3385">
        <w:t xml:space="preserve"> </w:t>
      </w:r>
    </w:p>
    <w:p w:rsidR="001002FA" w:rsidRDefault="00235A2F" w:rsidP="00DA05D8">
      <w:pPr>
        <w:spacing w:line="480" w:lineRule="auto"/>
        <w:ind w:firstLine="720"/>
      </w:pPr>
      <w:r>
        <w:t>T</w:t>
      </w:r>
      <w:r w:rsidR="001002FA">
        <w:t>he results of our study</w:t>
      </w:r>
      <w:r>
        <w:t xml:space="preserve"> should not be used</w:t>
      </w:r>
      <w:r w:rsidR="001002FA">
        <w:t xml:space="preserve"> in isolation to suggest that all financial instruments should be </w:t>
      </w:r>
      <w:r w:rsidR="005D7B62">
        <w:t>recognized</w:t>
      </w:r>
      <w:r w:rsidR="001002FA">
        <w:t xml:space="preserve"> </w:t>
      </w:r>
      <w:r w:rsidR="00D21950">
        <w:t xml:space="preserve">and measured </w:t>
      </w:r>
      <w:r w:rsidR="001002FA">
        <w:t>at fair value</w:t>
      </w:r>
      <w:r w:rsidR="00646505">
        <w:t xml:space="preserve">. </w:t>
      </w:r>
      <w:r w:rsidR="001002FA">
        <w:t>Our study only speaks to the ability of fair values to reflect credit risks of banks</w:t>
      </w:r>
      <w:r w:rsidR="00646505">
        <w:t xml:space="preserve">. </w:t>
      </w:r>
      <w:r w:rsidR="001002FA">
        <w:t xml:space="preserve">There are other costs and benefits associated with a </w:t>
      </w:r>
      <w:r w:rsidR="001002FA">
        <w:lastRenderedPageBreak/>
        <w:t>movement to fair values that we do not consider</w:t>
      </w:r>
      <w:r w:rsidR="00646505">
        <w:t xml:space="preserve">. </w:t>
      </w:r>
      <w:r w:rsidR="001002FA">
        <w:t xml:space="preserve">Most notably, our study does not address the potential implications that fair value accounting </w:t>
      </w:r>
      <w:r w:rsidR="00BF7C85">
        <w:t>has</w:t>
      </w:r>
      <w:r w:rsidR="001002FA">
        <w:t xml:space="preserve"> on </w:t>
      </w:r>
      <w:proofErr w:type="spellStart"/>
      <w:r w:rsidR="001002FA">
        <w:t>procyclicality</w:t>
      </w:r>
      <w:proofErr w:type="spellEnd"/>
      <w:r w:rsidR="001002FA">
        <w:t xml:space="preserve"> or contracting. In addition, we do not demonstrate that decision makers are using the fair values to determine credit risk; </w:t>
      </w:r>
      <w:r>
        <w:t xml:space="preserve">rather, </w:t>
      </w:r>
      <w:r w:rsidR="001002FA">
        <w:t xml:space="preserve">we only demonstrate that fair values are most highly associated with the credit risk determinations. </w:t>
      </w:r>
      <w:r w:rsidR="009B7F72">
        <w:t>Lastly, it is worthwhile to note that we measure fair values based on the fair values currently being recognized or disclosed by banks</w:t>
      </w:r>
      <w:r w:rsidR="00646505">
        <w:t xml:space="preserve">. </w:t>
      </w:r>
      <w:r w:rsidR="009B7F72">
        <w:t xml:space="preserve">The FASB and </w:t>
      </w:r>
      <w:r w:rsidR="00795D46">
        <w:t xml:space="preserve">the </w:t>
      </w:r>
      <w:r w:rsidR="009B7F72">
        <w:t xml:space="preserve">IASB have recently issued standards that define fair values more precisely (see note </w:t>
      </w:r>
      <w:r w:rsidR="00A13FDA">
        <w:t>5</w:t>
      </w:r>
      <w:r w:rsidR="009B7F72">
        <w:t xml:space="preserve"> for details), and to the extent </w:t>
      </w:r>
      <w:r>
        <w:t xml:space="preserve">that </w:t>
      </w:r>
      <w:r w:rsidR="009B7F72">
        <w:t>this new definition affects the ultimate fair values recognized or disclosed under future expected  revisions to the classification and measurement guidance for financial instruments, our results may not generalize</w:t>
      </w:r>
      <w:r w:rsidR="00646505">
        <w:t xml:space="preserve">. </w:t>
      </w:r>
      <w:r w:rsidR="009B7F72">
        <w:t xml:space="preserve">  </w:t>
      </w:r>
    </w:p>
    <w:p w:rsidR="00B253DD" w:rsidRDefault="00B253DD"/>
    <w:p w:rsidR="00827073" w:rsidRDefault="00827073">
      <w:r>
        <w:br w:type="page"/>
      </w:r>
    </w:p>
    <w:p w:rsidR="00620FC5" w:rsidRDefault="001002FA">
      <w:pPr>
        <w:jc w:val="center"/>
      </w:pPr>
      <w:r>
        <w:lastRenderedPageBreak/>
        <w:t>References</w:t>
      </w:r>
    </w:p>
    <w:p w:rsidR="001002FA" w:rsidRDefault="001002FA" w:rsidP="006B76E3">
      <w:pPr>
        <w:jc w:val="center"/>
      </w:pPr>
    </w:p>
    <w:p w:rsidR="00D67774" w:rsidRPr="00D67774" w:rsidRDefault="00D67774" w:rsidP="00D6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lang w:eastAsia="zh-CN"/>
        </w:rPr>
      </w:pPr>
      <w:proofErr w:type="gramStart"/>
      <w:r w:rsidRPr="00D67774">
        <w:rPr>
          <w:rFonts w:eastAsia="Times New Roman"/>
          <w:lang w:eastAsia="en-US"/>
        </w:rPr>
        <w:t>Allen, F</w:t>
      </w:r>
      <w:r>
        <w:rPr>
          <w:rFonts w:eastAsia="Times New Roman"/>
          <w:lang w:eastAsia="en-US"/>
        </w:rPr>
        <w:t>.</w:t>
      </w:r>
      <w:r w:rsidR="005D0D24">
        <w:rPr>
          <w:rFonts w:eastAsia="Times New Roman"/>
          <w:lang w:eastAsia="en-US"/>
        </w:rPr>
        <w:t xml:space="preserve"> and E. </w:t>
      </w:r>
      <w:proofErr w:type="spellStart"/>
      <w:r w:rsidRPr="00D67774">
        <w:rPr>
          <w:rFonts w:eastAsia="Times New Roman"/>
          <w:lang w:eastAsia="en-US"/>
        </w:rPr>
        <w:t>Carletti</w:t>
      </w:r>
      <w:proofErr w:type="spellEnd"/>
      <w:r>
        <w:rPr>
          <w:rFonts w:eastAsia="Times New Roman"/>
          <w:lang w:eastAsia="en-US"/>
        </w:rPr>
        <w:t>.</w:t>
      </w:r>
      <w:proofErr w:type="gramEnd"/>
      <w:r w:rsidRPr="00D67774">
        <w:rPr>
          <w:rFonts w:eastAsia="Times New Roman"/>
          <w:lang w:eastAsia="en-US"/>
        </w:rPr>
        <w:t xml:space="preserve"> 2008.</w:t>
      </w:r>
      <w:r>
        <w:rPr>
          <w:rFonts w:eastAsia="Times New Roman"/>
          <w:lang w:eastAsia="en-US"/>
        </w:rPr>
        <w:t xml:space="preserve"> </w:t>
      </w:r>
      <w:r w:rsidRPr="00D67774">
        <w:rPr>
          <w:rFonts w:eastAsia="Times New Roman"/>
          <w:lang w:eastAsia="en-US"/>
        </w:rPr>
        <w:t>Mark-to-</w:t>
      </w:r>
      <w:r w:rsidR="00040545">
        <w:rPr>
          <w:rFonts w:eastAsia="Times New Roman"/>
          <w:lang w:eastAsia="en-US"/>
        </w:rPr>
        <w:t>M</w:t>
      </w:r>
      <w:r w:rsidR="00040545" w:rsidRPr="00D67774">
        <w:rPr>
          <w:rFonts w:eastAsia="Times New Roman"/>
          <w:lang w:eastAsia="en-US"/>
        </w:rPr>
        <w:t xml:space="preserve">arket </w:t>
      </w:r>
      <w:r w:rsidR="00040545">
        <w:rPr>
          <w:rFonts w:eastAsia="Times New Roman"/>
          <w:lang w:eastAsia="en-US"/>
        </w:rPr>
        <w:t>A</w:t>
      </w:r>
      <w:r w:rsidR="00040545" w:rsidRPr="00D67774">
        <w:rPr>
          <w:rFonts w:eastAsia="Times New Roman"/>
          <w:lang w:eastAsia="en-US"/>
        </w:rPr>
        <w:t>c</w:t>
      </w:r>
      <w:r w:rsidR="00040545">
        <w:rPr>
          <w:rFonts w:eastAsia="Times New Roman"/>
          <w:lang w:eastAsia="en-US"/>
        </w:rPr>
        <w:t xml:space="preserve">counting </w:t>
      </w:r>
      <w:r>
        <w:rPr>
          <w:rFonts w:eastAsia="Times New Roman"/>
          <w:lang w:eastAsia="en-US"/>
        </w:rPr>
        <w:t xml:space="preserve">and </w:t>
      </w:r>
      <w:r w:rsidR="00040545">
        <w:rPr>
          <w:rFonts w:eastAsia="Times New Roman"/>
          <w:lang w:eastAsia="en-US"/>
        </w:rPr>
        <w:t>L</w:t>
      </w:r>
      <w:r>
        <w:rPr>
          <w:rFonts w:eastAsia="Times New Roman"/>
          <w:lang w:eastAsia="en-US"/>
        </w:rPr>
        <w:t xml:space="preserve">iquidity </w:t>
      </w:r>
      <w:r w:rsidR="00040545">
        <w:rPr>
          <w:rFonts w:eastAsia="Times New Roman"/>
          <w:lang w:eastAsia="en-US"/>
        </w:rPr>
        <w:t>Pricing</w:t>
      </w:r>
      <w:r>
        <w:rPr>
          <w:rFonts w:eastAsia="Times New Roman"/>
          <w:lang w:eastAsia="en-US"/>
        </w:rPr>
        <w:t>,</w:t>
      </w:r>
      <w:r w:rsidRPr="00D67774">
        <w:rPr>
          <w:rFonts w:eastAsia="Times New Roman"/>
          <w:lang w:eastAsia="en-US"/>
        </w:rPr>
        <w:t xml:space="preserve"> Journal of Accounting and Economics 45</w:t>
      </w:r>
      <w:r w:rsidR="00795D46">
        <w:rPr>
          <w:rFonts w:eastAsia="Times New Roman"/>
          <w:lang w:eastAsia="en-US"/>
        </w:rPr>
        <w:t xml:space="preserve"> </w:t>
      </w:r>
      <w:r w:rsidRPr="00D67774">
        <w:rPr>
          <w:rFonts w:eastAsia="Times New Roman"/>
          <w:lang w:eastAsia="en-US"/>
        </w:rPr>
        <w:t>(2-3)</w:t>
      </w:r>
      <w:r w:rsidR="005D0D24">
        <w:rPr>
          <w:rFonts w:eastAsia="Times New Roman"/>
          <w:lang w:eastAsia="en-US"/>
        </w:rPr>
        <w:t>:</w:t>
      </w:r>
      <w:r w:rsidRPr="00D67774">
        <w:rPr>
          <w:rFonts w:eastAsia="Times New Roman"/>
          <w:lang w:eastAsia="en-US"/>
        </w:rPr>
        <w:t xml:space="preserve"> 358-378.</w:t>
      </w:r>
    </w:p>
    <w:p w:rsidR="00D67774" w:rsidRDefault="00D67774" w:rsidP="006B76E3">
      <w:pPr>
        <w:ind w:left="720" w:hanging="720"/>
        <w:rPr>
          <w:lang w:eastAsia="zh-CN"/>
        </w:rPr>
      </w:pPr>
    </w:p>
    <w:p w:rsidR="001002FA" w:rsidRPr="00D97923" w:rsidRDefault="001002FA" w:rsidP="00D87C7F">
      <w:pPr>
        <w:spacing w:after="240"/>
        <w:ind w:left="720" w:hanging="720"/>
        <w:rPr>
          <w:lang w:eastAsia="zh-CN"/>
        </w:rPr>
      </w:pPr>
      <w:proofErr w:type="gramStart"/>
      <w:r>
        <w:rPr>
          <w:lang w:eastAsia="zh-CN"/>
        </w:rPr>
        <w:t>American Bankers Association</w:t>
      </w:r>
      <w:r w:rsidR="005D0D24">
        <w:rPr>
          <w:lang w:eastAsia="zh-CN"/>
        </w:rPr>
        <w:t>.</w:t>
      </w:r>
      <w:proofErr w:type="gramEnd"/>
      <w:r>
        <w:rPr>
          <w:lang w:eastAsia="zh-CN"/>
        </w:rPr>
        <w:t xml:space="preserve"> 2006. Comment Letter to the FASB on File Reference No. 1250-001, Proposed Statement of Financial Accounting Standard</w:t>
      </w:r>
      <w:r w:rsidR="00795D46">
        <w:rPr>
          <w:lang w:eastAsia="zh-CN"/>
        </w:rPr>
        <w:t>s</w:t>
      </w:r>
      <w:r>
        <w:rPr>
          <w:lang w:eastAsia="zh-CN"/>
        </w:rPr>
        <w:t>, The Fair Value Option for Financial Assets and Financial Liabilities</w:t>
      </w:r>
      <w:r w:rsidR="00795D46">
        <w:rPr>
          <w:lang w:eastAsia="zh-CN"/>
        </w:rPr>
        <w:t>—</w:t>
      </w:r>
      <w:proofErr w:type="gramStart"/>
      <w:r>
        <w:rPr>
          <w:lang w:eastAsia="zh-CN"/>
        </w:rPr>
        <w:t>Including</w:t>
      </w:r>
      <w:proofErr w:type="gramEnd"/>
      <w:r>
        <w:rPr>
          <w:lang w:eastAsia="zh-CN"/>
        </w:rPr>
        <w:t xml:space="preserve"> an amendment of FASB No. 115. April 18. Available at</w:t>
      </w:r>
      <w:r w:rsidR="00584ED7">
        <w:rPr>
          <w:lang w:eastAsia="zh-CN"/>
        </w:rPr>
        <w:t xml:space="preserve"> </w:t>
      </w:r>
      <w:hyperlink r:id="rId15" w:history="1">
        <w:r w:rsidR="00584ED7" w:rsidRPr="00584ED7">
          <w:rPr>
            <w:rFonts w:eastAsia="Times New Roman"/>
            <w:color w:val="0000FF"/>
            <w:u w:val="single"/>
            <w:lang w:eastAsia="en-US"/>
          </w:rPr>
          <w:t>http://www.aba.com/Issues/Documents/aab2a50b0afe467fa0a5f02e8bc0a028FairvalueoptionApril2006.pdf</w:t>
        </w:r>
      </w:hyperlink>
      <w:r>
        <w:t>;</w:t>
      </w:r>
      <w:r>
        <w:rPr>
          <w:lang w:eastAsia="zh-CN"/>
        </w:rPr>
        <w:t xml:space="preserve"> Last Accessed: </w:t>
      </w:r>
      <w:r w:rsidR="00584ED7">
        <w:rPr>
          <w:lang w:eastAsia="zh-CN"/>
        </w:rPr>
        <w:t>3/15/2013</w:t>
      </w:r>
      <w:r>
        <w:rPr>
          <w:lang w:eastAsia="zh-CN"/>
        </w:rPr>
        <w:t>.</w:t>
      </w:r>
    </w:p>
    <w:p w:rsidR="001002FA" w:rsidRDefault="001002FA" w:rsidP="006B76E3">
      <w:pPr>
        <w:ind w:left="720" w:hanging="720"/>
      </w:pPr>
      <w:r>
        <w:rPr>
          <w:lang w:eastAsia="zh-CN"/>
        </w:rPr>
        <w:t>____________</w:t>
      </w:r>
      <w:r w:rsidR="005D0D24">
        <w:rPr>
          <w:lang w:eastAsia="zh-CN"/>
        </w:rPr>
        <w:t>.</w:t>
      </w:r>
      <w:r w:rsidRPr="005705AB">
        <w:rPr>
          <w:lang w:eastAsia="zh-CN"/>
        </w:rPr>
        <w:t xml:space="preserve"> 2009. </w:t>
      </w:r>
      <w:r>
        <w:rPr>
          <w:lang w:eastAsia="zh-CN"/>
        </w:rPr>
        <w:t xml:space="preserve">Comment Letter to the U.S. Treasury Secretary Timothy Geithner and Federal Reserve Chairman Ben Bernanke on the G-20 Accounting Recommendations. September 9. Available at </w:t>
      </w:r>
      <w:hyperlink r:id="rId16" w:history="1">
        <w:r>
          <w:rPr>
            <w:rStyle w:val="Hyperlink"/>
          </w:rPr>
          <w:t>http://www.aba.com/aba/documents/news/G20Letter9909.pdf</w:t>
        </w:r>
      </w:hyperlink>
      <w:r>
        <w:t>; Last Accessed: 3/2/2010.</w:t>
      </w:r>
    </w:p>
    <w:p w:rsidR="001F38EF" w:rsidRDefault="001F38EF" w:rsidP="006B76E3">
      <w:pPr>
        <w:ind w:left="720" w:hanging="720"/>
      </w:pPr>
    </w:p>
    <w:p w:rsidR="001002FA" w:rsidRPr="005705AB" w:rsidRDefault="001002FA" w:rsidP="006B76E3">
      <w:pPr>
        <w:ind w:left="720" w:hanging="720"/>
        <w:rPr>
          <w:color w:val="1F497D"/>
        </w:rPr>
      </w:pPr>
      <w:proofErr w:type="spellStart"/>
      <w:proofErr w:type="gramStart"/>
      <w:r>
        <w:t>Amiram</w:t>
      </w:r>
      <w:proofErr w:type="spellEnd"/>
      <w:r>
        <w:t xml:space="preserve">, D., </w:t>
      </w:r>
      <w:r w:rsidR="005D0D24">
        <w:t>W.</w:t>
      </w:r>
      <w:r w:rsidR="00191C1D">
        <w:t xml:space="preserve"> </w:t>
      </w:r>
      <w:r w:rsidR="005D0D24">
        <w:t xml:space="preserve">R. </w:t>
      </w:r>
      <w:r>
        <w:t xml:space="preserve">Landsman, </w:t>
      </w:r>
      <w:r w:rsidR="005D0D24">
        <w:t xml:space="preserve">K. </w:t>
      </w:r>
      <w:proofErr w:type="spellStart"/>
      <w:r>
        <w:t>Peasnell</w:t>
      </w:r>
      <w:proofErr w:type="spellEnd"/>
      <w:r>
        <w:t xml:space="preserve">, </w:t>
      </w:r>
      <w:r w:rsidR="005D0D24">
        <w:t xml:space="preserve">and C. </w:t>
      </w:r>
      <w:r>
        <w:t>Shakespeare</w:t>
      </w:r>
      <w:r w:rsidR="005D0D24">
        <w:t>.</w:t>
      </w:r>
      <w:proofErr w:type="gramEnd"/>
      <w:r>
        <w:t xml:space="preserve"> </w:t>
      </w:r>
      <w:r w:rsidR="00121E39">
        <w:t>2012</w:t>
      </w:r>
      <w:r>
        <w:t>. Market Reaction to Securitization Retained Interest Impairments during the Financial Crisis of 2007</w:t>
      </w:r>
      <w:r w:rsidR="006175D9">
        <w:t>-</w:t>
      </w:r>
      <w:r>
        <w:t>2008</w:t>
      </w:r>
      <w:r w:rsidR="006175D9">
        <w:t xml:space="preserve">: Are Implicit Guarantees </w:t>
      </w:r>
      <w:proofErr w:type="gramStart"/>
      <w:r w:rsidR="006175D9">
        <w:t>Worth</w:t>
      </w:r>
      <w:proofErr w:type="gramEnd"/>
      <w:r w:rsidR="006175D9">
        <w:t xml:space="preserve"> the Paper They’re Not Written On?</w:t>
      </w:r>
      <w:r>
        <w:t xml:space="preserve"> </w:t>
      </w:r>
      <w:proofErr w:type="gramStart"/>
      <w:r>
        <w:t>Lancaster University, University of North Carolina, and University of Michigan</w:t>
      </w:r>
      <w:r w:rsidR="00295C9D">
        <w:t>,</w:t>
      </w:r>
      <w:r>
        <w:t xml:space="preserve"> working paper.</w:t>
      </w:r>
      <w:proofErr w:type="gramEnd"/>
      <w:r>
        <w:t xml:space="preserve"> </w:t>
      </w:r>
    </w:p>
    <w:p w:rsidR="00B22F1D" w:rsidRDefault="00B22F1D" w:rsidP="006B76E3">
      <w:pPr>
        <w:autoSpaceDE w:val="0"/>
        <w:autoSpaceDN w:val="0"/>
        <w:adjustRightInd w:val="0"/>
        <w:ind w:left="720" w:hanging="720"/>
      </w:pPr>
    </w:p>
    <w:p w:rsidR="001002FA" w:rsidRDefault="001002FA" w:rsidP="006B76E3">
      <w:pPr>
        <w:autoSpaceDE w:val="0"/>
        <w:autoSpaceDN w:val="0"/>
        <w:adjustRightInd w:val="0"/>
        <w:ind w:left="720" w:hanging="720"/>
      </w:pPr>
      <w:proofErr w:type="spellStart"/>
      <w:proofErr w:type="gramStart"/>
      <w:r>
        <w:t>Badertscher</w:t>
      </w:r>
      <w:proofErr w:type="spellEnd"/>
      <w:r>
        <w:t xml:space="preserve">, B., </w:t>
      </w:r>
      <w:r w:rsidR="006C0609">
        <w:t xml:space="preserve">J. </w:t>
      </w:r>
      <w:r>
        <w:t xml:space="preserve">Burks, </w:t>
      </w:r>
      <w:r w:rsidR="006C0609">
        <w:t>and P.</w:t>
      </w:r>
      <w:r>
        <w:t xml:space="preserve"> Easton.</w:t>
      </w:r>
      <w:proofErr w:type="gramEnd"/>
      <w:r>
        <w:t xml:space="preserve"> 2010. Fair Value Accounting, Other-Than-Temporary-Impairment, and the Financial Crisis. </w:t>
      </w:r>
      <w:proofErr w:type="gramStart"/>
      <w:r>
        <w:t>University of Notre Dame, working paper.</w:t>
      </w:r>
      <w:proofErr w:type="gramEnd"/>
    </w:p>
    <w:p w:rsidR="001002FA" w:rsidRDefault="001002FA" w:rsidP="006B76E3">
      <w:pPr>
        <w:autoSpaceDE w:val="0"/>
        <w:autoSpaceDN w:val="0"/>
        <w:adjustRightInd w:val="0"/>
        <w:ind w:left="720" w:hanging="720"/>
      </w:pPr>
    </w:p>
    <w:p w:rsidR="00C136C1" w:rsidRDefault="00C136C1" w:rsidP="006B76E3">
      <w:pPr>
        <w:autoSpaceDE w:val="0"/>
        <w:autoSpaceDN w:val="0"/>
        <w:adjustRightInd w:val="0"/>
        <w:ind w:left="720" w:hanging="720"/>
      </w:pPr>
      <w:r w:rsidRPr="00B25A5D">
        <w:t>Barth, M.</w:t>
      </w:r>
      <w:r w:rsidR="00191C1D">
        <w:t xml:space="preserve"> </w:t>
      </w:r>
      <w:r w:rsidRPr="00B25A5D">
        <w:t xml:space="preserve">E., </w:t>
      </w:r>
      <w:r w:rsidR="006C0609">
        <w:t>W.</w:t>
      </w:r>
      <w:r w:rsidR="00191C1D">
        <w:t xml:space="preserve"> </w:t>
      </w:r>
      <w:r w:rsidR="006C0609">
        <w:t xml:space="preserve">H. </w:t>
      </w:r>
      <w:r>
        <w:t xml:space="preserve">Beaver, </w:t>
      </w:r>
      <w:r w:rsidR="006C0609">
        <w:t>and W.</w:t>
      </w:r>
      <w:r w:rsidR="00191C1D">
        <w:t xml:space="preserve"> </w:t>
      </w:r>
      <w:r w:rsidR="006C0609">
        <w:t>R.</w:t>
      </w:r>
      <w:r>
        <w:t xml:space="preserve"> </w:t>
      </w:r>
      <w:r w:rsidRPr="00B25A5D">
        <w:t>Landsman.</w:t>
      </w:r>
      <w:r w:rsidR="006C0609">
        <w:t xml:space="preserve"> </w:t>
      </w:r>
      <w:r>
        <w:t>1996. Value-Relevance of Banks’ Fair Value Disclosures under SFAS No. 107. The Accounting Review 71</w:t>
      </w:r>
      <w:r w:rsidR="006C0609">
        <w:t xml:space="preserve"> </w:t>
      </w:r>
      <w:r>
        <w:t>(4)</w:t>
      </w:r>
      <w:r w:rsidR="006C0609">
        <w:t>:</w:t>
      </w:r>
      <w:r>
        <w:t xml:space="preserve"> 513-537.</w:t>
      </w:r>
    </w:p>
    <w:p w:rsidR="00C136C1" w:rsidRDefault="00C136C1" w:rsidP="006B76E3">
      <w:pPr>
        <w:autoSpaceDE w:val="0"/>
        <w:autoSpaceDN w:val="0"/>
        <w:adjustRightInd w:val="0"/>
        <w:ind w:left="720" w:hanging="720"/>
      </w:pPr>
    </w:p>
    <w:p w:rsidR="001002FA" w:rsidRDefault="001002FA" w:rsidP="006B76E3">
      <w:pPr>
        <w:autoSpaceDE w:val="0"/>
        <w:autoSpaceDN w:val="0"/>
        <w:adjustRightInd w:val="0"/>
        <w:ind w:left="720" w:hanging="720"/>
      </w:pPr>
      <w:proofErr w:type="gramStart"/>
      <w:r>
        <w:t>Barth, M.</w:t>
      </w:r>
      <w:r w:rsidR="00191C1D">
        <w:t xml:space="preserve"> </w:t>
      </w:r>
      <w:r>
        <w:t xml:space="preserve">E., </w:t>
      </w:r>
      <w:r w:rsidR="006C0609">
        <w:t>L.</w:t>
      </w:r>
      <w:r w:rsidR="00191C1D">
        <w:t xml:space="preserve"> </w:t>
      </w:r>
      <w:r w:rsidR="006C0609">
        <w:t xml:space="preserve">D. </w:t>
      </w:r>
      <w:proofErr w:type="spellStart"/>
      <w:r>
        <w:t>Hodder</w:t>
      </w:r>
      <w:proofErr w:type="spellEnd"/>
      <w:r>
        <w:t xml:space="preserve">, </w:t>
      </w:r>
      <w:r w:rsidR="006C0609">
        <w:t>and S.</w:t>
      </w:r>
      <w:r w:rsidR="00191C1D">
        <w:t xml:space="preserve"> </w:t>
      </w:r>
      <w:r w:rsidR="006C0609">
        <w:t xml:space="preserve">R. </w:t>
      </w:r>
      <w:proofErr w:type="spellStart"/>
      <w:r>
        <w:t>Stubben</w:t>
      </w:r>
      <w:proofErr w:type="spellEnd"/>
      <w:r>
        <w:t>.</w:t>
      </w:r>
      <w:proofErr w:type="gramEnd"/>
      <w:r>
        <w:t xml:space="preserve"> 2008. Fair Value Accounting for Liabilities and Own Credit Risk. The Accounting Review 83 (3)</w:t>
      </w:r>
      <w:r w:rsidR="006C0609">
        <w:t>:</w:t>
      </w:r>
      <w:r>
        <w:t xml:space="preserve"> 629-665.</w:t>
      </w:r>
    </w:p>
    <w:p w:rsidR="001002FA" w:rsidRDefault="001002FA" w:rsidP="006B76E3">
      <w:pPr>
        <w:autoSpaceDE w:val="0"/>
        <w:autoSpaceDN w:val="0"/>
        <w:adjustRightInd w:val="0"/>
        <w:ind w:left="720" w:hanging="720"/>
      </w:pPr>
    </w:p>
    <w:p w:rsidR="001002FA" w:rsidRPr="00B25A5D" w:rsidRDefault="001002FA" w:rsidP="006B76E3">
      <w:pPr>
        <w:autoSpaceDE w:val="0"/>
        <w:autoSpaceDN w:val="0"/>
        <w:adjustRightInd w:val="0"/>
        <w:ind w:left="720" w:hanging="720"/>
      </w:pPr>
      <w:r w:rsidRPr="00B25A5D">
        <w:t>Barth, M.</w:t>
      </w:r>
      <w:r w:rsidR="00191C1D">
        <w:t xml:space="preserve"> </w:t>
      </w:r>
      <w:r w:rsidRPr="00B25A5D">
        <w:t xml:space="preserve">E., </w:t>
      </w:r>
      <w:r w:rsidR="006C0609">
        <w:t>W.</w:t>
      </w:r>
      <w:r w:rsidR="00191C1D">
        <w:t xml:space="preserve"> </w:t>
      </w:r>
      <w:r w:rsidR="006C0609">
        <w:t xml:space="preserve">R. </w:t>
      </w:r>
      <w:r w:rsidRPr="00B25A5D">
        <w:t xml:space="preserve">Landsman, </w:t>
      </w:r>
      <w:r w:rsidR="006C0609">
        <w:t>and J.</w:t>
      </w:r>
      <w:r w:rsidR="00191C1D">
        <w:t xml:space="preserve"> </w:t>
      </w:r>
      <w:r w:rsidR="006C0609">
        <w:t xml:space="preserve">W. </w:t>
      </w:r>
      <w:r w:rsidRPr="00B25A5D">
        <w:t>Wahlen</w:t>
      </w:r>
      <w:r>
        <w:t>.</w:t>
      </w:r>
      <w:r w:rsidRPr="00B25A5D">
        <w:t xml:space="preserve"> 1995. Fair</w:t>
      </w:r>
      <w:r>
        <w:t xml:space="preserve"> </w:t>
      </w:r>
      <w:r w:rsidR="00040545">
        <w:t>V</w:t>
      </w:r>
      <w:r w:rsidR="00040545" w:rsidRPr="00B25A5D">
        <w:t xml:space="preserve">alue </w:t>
      </w:r>
      <w:r w:rsidR="00040545">
        <w:t>A</w:t>
      </w:r>
      <w:r w:rsidRPr="00B25A5D">
        <w:t xml:space="preserve">ccounting: </w:t>
      </w:r>
      <w:r w:rsidR="00040545">
        <w:t>E</w:t>
      </w:r>
      <w:r w:rsidRPr="00B25A5D">
        <w:t xml:space="preserve">ffects on </w:t>
      </w:r>
      <w:r w:rsidR="00040545">
        <w:t>B</w:t>
      </w:r>
      <w:r w:rsidR="00040545" w:rsidRPr="00B25A5D">
        <w:t xml:space="preserve">anks’ </w:t>
      </w:r>
      <w:r w:rsidR="00040545">
        <w:t>E</w:t>
      </w:r>
      <w:r w:rsidR="00040545" w:rsidRPr="00B25A5D">
        <w:t xml:space="preserve">arnings </w:t>
      </w:r>
      <w:r w:rsidRPr="00B25A5D">
        <w:t>volatility,</w:t>
      </w:r>
      <w:r>
        <w:t xml:space="preserve"> </w:t>
      </w:r>
      <w:r w:rsidRPr="00B25A5D">
        <w:t>regulatory capital, and value of contractual cash flows.</w:t>
      </w:r>
      <w:r>
        <w:t xml:space="preserve"> </w:t>
      </w:r>
      <w:r w:rsidRPr="00C202B6">
        <w:t>Journal of Banking and Finance</w:t>
      </w:r>
      <w:r w:rsidRPr="00B25A5D">
        <w:t xml:space="preserve"> 19</w:t>
      </w:r>
      <w:r w:rsidR="00752E6E">
        <w:t>:</w:t>
      </w:r>
      <w:r>
        <w:t xml:space="preserve"> </w:t>
      </w:r>
      <w:r w:rsidRPr="00B25A5D">
        <w:t>577–605.</w:t>
      </w:r>
    </w:p>
    <w:p w:rsidR="001002FA" w:rsidRDefault="001002FA" w:rsidP="006B76E3">
      <w:pPr>
        <w:ind w:left="720" w:hanging="480"/>
      </w:pPr>
    </w:p>
    <w:p w:rsidR="00387C9B" w:rsidRDefault="00387C9B" w:rsidP="006B76E3">
      <w:pPr>
        <w:autoSpaceDE w:val="0"/>
        <w:autoSpaceDN w:val="0"/>
        <w:adjustRightInd w:val="0"/>
        <w:ind w:left="720" w:hanging="720"/>
      </w:pPr>
      <w:proofErr w:type="gramStart"/>
      <w:r>
        <w:t>Barth, M.</w:t>
      </w:r>
      <w:r w:rsidR="00191C1D">
        <w:t xml:space="preserve"> </w:t>
      </w:r>
      <w:r>
        <w:t xml:space="preserve">E., </w:t>
      </w:r>
      <w:r w:rsidR="00752E6E">
        <w:t xml:space="preserve">G. </w:t>
      </w:r>
      <w:proofErr w:type="spellStart"/>
      <w:r>
        <w:t>Ormazabal</w:t>
      </w:r>
      <w:proofErr w:type="spellEnd"/>
      <w:r>
        <w:t xml:space="preserve">, </w:t>
      </w:r>
      <w:r w:rsidR="00752E6E">
        <w:t>and D.</w:t>
      </w:r>
      <w:r w:rsidR="00191C1D">
        <w:t xml:space="preserve"> </w:t>
      </w:r>
      <w:r w:rsidR="00752E6E">
        <w:t xml:space="preserve">J. </w:t>
      </w:r>
      <w:r>
        <w:t>Taylor.</w:t>
      </w:r>
      <w:proofErr w:type="gramEnd"/>
      <w:r>
        <w:t xml:space="preserve"> 201</w:t>
      </w:r>
      <w:r w:rsidR="00EA16E4">
        <w:t>2</w:t>
      </w:r>
      <w:r>
        <w:t>. Asset Securitizations and Credit Risk.</w:t>
      </w:r>
      <w:r w:rsidR="00EA16E4">
        <w:t xml:space="preserve"> The Accounting Review 87 (2)</w:t>
      </w:r>
      <w:r w:rsidR="00752E6E">
        <w:t>:</w:t>
      </w:r>
      <w:r w:rsidR="00EA16E4">
        <w:t xml:space="preserve"> 423-448.</w:t>
      </w:r>
      <w:r>
        <w:t xml:space="preserve"> </w:t>
      </w:r>
    </w:p>
    <w:p w:rsidR="003E678C" w:rsidRDefault="003E678C" w:rsidP="006B76E3">
      <w:pPr>
        <w:autoSpaceDE w:val="0"/>
        <w:autoSpaceDN w:val="0"/>
        <w:adjustRightInd w:val="0"/>
        <w:ind w:left="720" w:hanging="720"/>
      </w:pPr>
    </w:p>
    <w:p w:rsidR="009073AA" w:rsidRDefault="009073AA" w:rsidP="009073AA">
      <w:pPr>
        <w:autoSpaceDE w:val="0"/>
        <w:autoSpaceDN w:val="0"/>
        <w:adjustRightInd w:val="0"/>
        <w:ind w:left="720" w:hanging="720"/>
      </w:pPr>
      <w:proofErr w:type="gramStart"/>
      <w:r>
        <w:t>Basel Committee on Banking Supervision</w:t>
      </w:r>
      <w:r w:rsidR="00395BE8">
        <w:t xml:space="preserve"> (Basel)</w:t>
      </w:r>
      <w:r w:rsidR="00752E6E">
        <w:t>.</w:t>
      </w:r>
      <w:proofErr w:type="gramEnd"/>
      <w:r>
        <w:t xml:space="preserve"> 2011. Basel III: A Global Regulatory Framework for More Resilient Banks and Banking Systems. </w:t>
      </w:r>
      <w:proofErr w:type="gramStart"/>
      <w:r>
        <w:t xml:space="preserve">Available at </w:t>
      </w:r>
      <w:hyperlink r:id="rId17" w:history="1">
        <w:r>
          <w:rPr>
            <w:rStyle w:val="Hyperlink"/>
          </w:rPr>
          <w:t>http://www.bis.org/publ/bcbs189.pdf</w:t>
        </w:r>
      </w:hyperlink>
      <w:r>
        <w:t>.</w:t>
      </w:r>
      <w:proofErr w:type="gramEnd"/>
      <w:r>
        <w:t xml:space="preserve"> </w:t>
      </w:r>
      <w:proofErr w:type="gramStart"/>
      <w:r>
        <w:t>Last Accessed: 5/30/2012.</w:t>
      </w:r>
      <w:proofErr w:type="gramEnd"/>
      <w:r>
        <w:t xml:space="preserve"> </w:t>
      </w:r>
    </w:p>
    <w:p w:rsidR="009073AA" w:rsidRDefault="009073AA" w:rsidP="009073AA">
      <w:pPr>
        <w:autoSpaceDE w:val="0"/>
        <w:autoSpaceDN w:val="0"/>
        <w:adjustRightInd w:val="0"/>
        <w:ind w:left="720" w:hanging="720"/>
      </w:pPr>
    </w:p>
    <w:p w:rsidR="001002FA" w:rsidRDefault="001002FA" w:rsidP="006B76E3">
      <w:pPr>
        <w:autoSpaceDE w:val="0"/>
        <w:autoSpaceDN w:val="0"/>
        <w:adjustRightInd w:val="0"/>
        <w:ind w:left="720" w:hanging="720"/>
      </w:pPr>
      <w:proofErr w:type="gramStart"/>
      <w:r w:rsidRPr="00FD67CB">
        <w:t>Beaver,</w:t>
      </w:r>
      <w:r>
        <w:t xml:space="preserve"> W.</w:t>
      </w:r>
      <w:r w:rsidR="00191C1D">
        <w:t xml:space="preserve"> </w:t>
      </w:r>
      <w:r>
        <w:t xml:space="preserve">H., </w:t>
      </w:r>
      <w:r w:rsidR="00752E6E">
        <w:t xml:space="preserve">C. </w:t>
      </w:r>
      <w:r w:rsidRPr="00FD67CB">
        <w:t>Shakespeare,</w:t>
      </w:r>
      <w:r>
        <w:t xml:space="preserve"> </w:t>
      </w:r>
      <w:r w:rsidR="00752E6E">
        <w:t xml:space="preserve">and M. </w:t>
      </w:r>
      <w:proofErr w:type="spellStart"/>
      <w:r w:rsidRPr="00FD67CB">
        <w:t>Soliman</w:t>
      </w:r>
      <w:proofErr w:type="spellEnd"/>
      <w:r w:rsidR="00752E6E">
        <w:t>.</w:t>
      </w:r>
      <w:proofErr w:type="gramEnd"/>
      <w:r>
        <w:t xml:space="preserve"> </w:t>
      </w:r>
      <w:r w:rsidRPr="00FD67CB">
        <w:t>2006</w:t>
      </w:r>
      <w:r>
        <w:t xml:space="preserve">. </w:t>
      </w:r>
      <w:r w:rsidRPr="0089586E">
        <w:rPr>
          <w:lang w:eastAsia="en-US"/>
        </w:rPr>
        <w:t xml:space="preserve">Differential </w:t>
      </w:r>
      <w:r w:rsidR="00040545">
        <w:rPr>
          <w:lang w:eastAsia="en-US"/>
        </w:rPr>
        <w:t>P</w:t>
      </w:r>
      <w:r w:rsidR="00040545" w:rsidRPr="0089586E">
        <w:rPr>
          <w:lang w:eastAsia="en-US"/>
        </w:rPr>
        <w:t xml:space="preserve">roperties </w:t>
      </w:r>
      <w:r w:rsidRPr="0089586E">
        <w:rPr>
          <w:lang w:eastAsia="en-US"/>
        </w:rPr>
        <w:t xml:space="preserve">in the </w:t>
      </w:r>
      <w:r w:rsidR="00040545">
        <w:rPr>
          <w:lang w:eastAsia="en-US"/>
        </w:rPr>
        <w:t>R</w:t>
      </w:r>
      <w:r w:rsidRPr="0089586E">
        <w:rPr>
          <w:lang w:eastAsia="en-US"/>
        </w:rPr>
        <w:t xml:space="preserve">atings of </w:t>
      </w:r>
      <w:r w:rsidR="00040545">
        <w:rPr>
          <w:lang w:eastAsia="en-US"/>
        </w:rPr>
        <w:t>C</w:t>
      </w:r>
      <w:r w:rsidR="00040545" w:rsidRPr="0089586E">
        <w:rPr>
          <w:lang w:eastAsia="en-US"/>
        </w:rPr>
        <w:t>ertified</w:t>
      </w:r>
      <w:r w:rsidR="00040545">
        <w:rPr>
          <w:lang w:eastAsia="en-US"/>
        </w:rPr>
        <w:t xml:space="preserve"> </w:t>
      </w:r>
      <w:r w:rsidRPr="0089586E">
        <w:rPr>
          <w:lang w:eastAsia="en-US"/>
        </w:rPr>
        <w:t xml:space="preserve">versus </w:t>
      </w:r>
      <w:r w:rsidR="00040545">
        <w:rPr>
          <w:lang w:eastAsia="en-US"/>
        </w:rPr>
        <w:t>N</w:t>
      </w:r>
      <w:r w:rsidRPr="0089586E">
        <w:rPr>
          <w:lang w:eastAsia="en-US"/>
        </w:rPr>
        <w:t>on-</w:t>
      </w:r>
      <w:r w:rsidR="00040545">
        <w:rPr>
          <w:lang w:eastAsia="en-US"/>
        </w:rPr>
        <w:t>C</w:t>
      </w:r>
      <w:r w:rsidR="00040545" w:rsidRPr="0089586E">
        <w:rPr>
          <w:lang w:eastAsia="en-US"/>
        </w:rPr>
        <w:t xml:space="preserve">ertified </w:t>
      </w:r>
      <w:r w:rsidR="00040545">
        <w:rPr>
          <w:lang w:eastAsia="en-US"/>
        </w:rPr>
        <w:t>B</w:t>
      </w:r>
      <w:r w:rsidR="00040545" w:rsidRPr="0089586E">
        <w:rPr>
          <w:lang w:eastAsia="en-US"/>
        </w:rPr>
        <w:t>ond</w:t>
      </w:r>
      <w:r w:rsidRPr="0089586E">
        <w:rPr>
          <w:lang w:eastAsia="en-US"/>
        </w:rPr>
        <w:t>-</w:t>
      </w:r>
      <w:r w:rsidR="00040545">
        <w:rPr>
          <w:lang w:eastAsia="en-US"/>
        </w:rPr>
        <w:t>R</w:t>
      </w:r>
      <w:r w:rsidRPr="0089586E">
        <w:rPr>
          <w:lang w:eastAsia="en-US"/>
        </w:rPr>
        <w:t xml:space="preserve">ating </w:t>
      </w:r>
      <w:r w:rsidR="00040545">
        <w:rPr>
          <w:lang w:eastAsia="en-US"/>
        </w:rPr>
        <w:t>A</w:t>
      </w:r>
      <w:r w:rsidRPr="0089586E">
        <w:rPr>
          <w:lang w:eastAsia="en-US"/>
        </w:rPr>
        <w:t>gencies</w:t>
      </w:r>
      <w:r>
        <w:rPr>
          <w:lang w:eastAsia="en-US"/>
        </w:rPr>
        <w:t xml:space="preserve">. </w:t>
      </w:r>
      <w:r>
        <w:t>Journal of Accounting and Economics 42 (3)</w:t>
      </w:r>
      <w:r w:rsidR="00752E6E">
        <w:t>:</w:t>
      </w:r>
      <w:r>
        <w:t xml:space="preserve"> 303-334.</w:t>
      </w:r>
      <w:r w:rsidRPr="00FD67CB">
        <w:t xml:space="preserve"> </w:t>
      </w:r>
    </w:p>
    <w:p w:rsidR="001002FA" w:rsidRDefault="001002FA" w:rsidP="006B76E3">
      <w:pPr>
        <w:autoSpaceDE w:val="0"/>
        <w:autoSpaceDN w:val="0"/>
        <w:adjustRightInd w:val="0"/>
        <w:ind w:left="720" w:hanging="720"/>
      </w:pPr>
    </w:p>
    <w:p w:rsidR="001002FA" w:rsidRPr="00A46EE1" w:rsidRDefault="00C136C1" w:rsidP="006B76E3">
      <w:pPr>
        <w:autoSpaceDE w:val="0"/>
        <w:autoSpaceDN w:val="0"/>
        <w:adjustRightInd w:val="0"/>
        <w:ind w:left="720" w:hanging="720"/>
      </w:pPr>
      <w:proofErr w:type="spellStart"/>
      <w:r>
        <w:lastRenderedPageBreak/>
        <w:t>Blankfein</w:t>
      </w:r>
      <w:proofErr w:type="spellEnd"/>
      <w:r>
        <w:t xml:space="preserve">, L. 2009. </w:t>
      </w:r>
      <w:r w:rsidR="001002FA">
        <w:t xml:space="preserve">To Avoid Crises, We Need More Transparency. </w:t>
      </w:r>
      <w:r w:rsidR="001002FA" w:rsidRPr="001A55AC">
        <w:t>Financial Times.com</w:t>
      </w:r>
      <w:r w:rsidR="001002FA">
        <w:t xml:space="preserve"> Op-Ed, October 13. Available at: </w:t>
      </w:r>
      <w:hyperlink r:id="rId18" w:history="1">
        <w:r w:rsidR="001002FA">
          <w:rPr>
            <w:rStyle w:val="Hyperlink"/>
          </w:rPr>
          <w:t>http://www.ft.com/cms/s/0/3de2aab8-b78f-11de-9812-00144feab49a.html?nclick_check=1</w:t>
        </w:r>
      </w:hyperlink>
      <w:r w:rsidR="001002FA">
        <w:t xml:space="preserve">; Last Accessed: 2/25/2010. </w:t>
      </w:r>
    </w:p>
    <w:p w:rsidR="001002FA" w:rsidRDefault="001002FA" w:rsidP="006B76E3">
      <w:pPr>
        <w:ind w:left="720" w:hanging="720"/>
        <w:rPr>
          <w:color w:val="333333"/>
        </w:rPr>
      </w:pPr>
    </w:p>
    <w:p w:rsidR="00946213" w:rsidRDefault="00C136C1" w:rsidP="006B76E3">
      <w:pPr>
        <w:ind w:left="720" w:hanging="720"/>
      </w:pPr>
      <w:proofErr w:type="spellStart"/>
      <w:proofErr w:type="gramStart"/>
      <w:r>
        <w:t>Bleck</w:t>
      </w:r>
      <w:proofErr w:type="spellEnd"/>
      <w:r>
        <w:t xml:space="preserve">, A. </w:t>
      </w:r>
      <w:r w:rsidR="00752E6E">
        <w:t xml:space="preserve">and X. </w:t>
      </w:r>
      <w:r>
        <w:t>Liu.</w:t>
      </w:r>
      <w:proofErr w:type="gramEnd"/>
      <w:r>
        <w:t xml:space="preserve"> 2007. </w:t>
      </w:r>
      <w:r w:rsidR="00946213">
        <w:t>Market Transparency and the Accounting Regime. Journal of Accounting Research 45</w:t>
      </w:r>
      <w:r w:rsidR="00295C9D">
        <w:t xml:space="preserve"> </w:t>
      </w:r>
      <w:r w:rsidR="00946213">
        <w:t>(2)</w:t>
      </w:r>
      <w:r w:rsidR="00752E6E">
        <w:t>:</w:t>
      </w:r>
      <w:r w:rsidR="00946213">
        <w:t xml:space="preserve"> 229-256.</w:t>
      </w:r>
    </w:p>
    <w:p w:rsidR="00946213" w:rsidRDefault="00946213" w:rsidP="006B76E3">
      <w:pPr>
        <w:ind w:left="720" w:hanging="720"/>
      </w:pPr>
    </w:p>
    <w:p w:rsidR="00570754" w:rsidRDefault="00570754" w:rsidP="00570754">
      <w:pPr>
        <w:ind w:left="720" w:hanging="720"/>
      </w:pPr>
      <w:proofErr w:type="gramStart"/>
      <w:r>
        <w:t xml:space="preserve">Bushman, R., </w:t>
      </w:r>
      <w:r w:rsidR="006073E7">
        <w:t xml:space="preserve">A. </w:t>
      </w:r>
      <w:r>
        <w:t xml:space="preserve">Smith, </w:t>
      </w:r>
      <w:r w:rsidR="006073E7">
        <w:t xml:space="preserve">and R. </w:t>
      </w:r>
      <w:r>
        <w:t>Wittenberg-</w:t>
      </w:r>
      <w:proofErr w:type="spellStart"/>
      <w:r>
        <w:t>Moerman</w:t>
      </w:r>
      <w:proofErr w:type="spellEnd"/>
      <w:r>
        <w:t>.</w:t>
      </w:r>
      <w:proofErr w:type="gramEnd"/>
      <w:r>
        <w:t xml:space="preserve"> 2010. Price Discovery and Dissemination of Private Information by Loan Syndicate Participants. </w:t>
      </w:r>
      <w:r w:rsidRPr="00570754">
        <w:t>Journal of Accounting Research 4</w:t>
      </w:r>
      <w:r>
        <w:t>8</w:t>
      </w:r>
      <w:r w:rsidR="00295C9D">
        <w:t xml:space="preserve"> </w:t>
      </w:r>
      <w:r w:rsidRPr="00570754">
        <w:t>(</w:t>
      </w:r>
      <w:r>
        <w:t>5</w:t>
      </w:r>
      <w:r w:rsidRPr="00570754">
        <w:t>)</w:t>
      </w:r>
      <w:r w:rsidR="006073E7">
        <w:t>:</w:t>
      </w:r>
      <w:r w:rsidRPr="00570754">
        <w:t xml:space="preserve"> </w:t>
      </w:r>
      <w:r>
        <w:t>921-972</w:t>
      </w:r>
      <w:r w:rsidRPr="00570754">
        <w:t>.</w:t>
      </w:r>
    </w:p>
    <w:p w:rsidR="00FD419E" w:rsidRDefault="00FD419E" w:rsidP="00570754">
      <w:pPr>
        <w:ind w:left="720" w:hanging="720"/>
      </w:pPr>
    </w:p>
    <w:p w:rsidR="00FD419E" w:rsidRPr="00570754" w:rsidRDefault="00FD419E" w:rsidP="00FD419E">
      <w:pPr>
        <w:ind w:left="720" w:hanging="720"/>
      </w:pPr>
      <w:proofErr w:type="gramStart"/>
      <w:r>
        <w:t>Campbell J.</w:t>
      </w:r>
      <w:r w:rsidR="00191C1D">
        <w:t xml:space="preserve"> </w:t>
      </w:r>
      <w:r>
        <w:t>Y.</w:t>
      </w:r>
      <w:r w:rsidR="006073E7">
        <w:t xml:space="preserve"> and</w:t>
      </w:r>
      <w:r>
        <w:t xml:space="preserve"> </w:t>
      </w:r>
      <w:r w:rsidR="006073E7">
        <w:t>G.</w:t>
      </w:r>
      <w:r w:rsidR="00191C1D">
        <w:t xml:space="preserve"> </w:t>
      </w:r>
      <w:r w:rsidR="006073E7">
        <w:t xml:space="preserve">B. </w:t>
      </w:r>
      <w:proofErr w:type="spellStart"/>
      <w:r>
        <w:t>Taksler</w:t>
      </w:r>
      <w:proofErr w:type="spellEnd"/>
      <w:r>
        <w:t>.</w:t>
      </w:r>
      <w:proofErr w:type="gramEnd"/>
      <w:r>
        <w:t xml:space="preserve"> 2003. Equity Volatility and Corporate Bond Yields. The Journal of Finance 58 (6)</w:t>
      </w:r>
      <w:r w:rsidR="006073E7">
        <w:t>:</w:t>
      </w:r>
      <w:r>
        <w:t xml:space="preserve"> 2321-2350.</w:t>
      </w:r>
    </w:p>
    <w:p w:rsidR="00570754" w:rsidRDefault="00570754" w:rsidP="006B76E3">
      <w:pPr>
        <w:ind w:left="720" w:hanging="720"/>
      </w:pPr>
    </w:p>
    <w:p w:rsidR="002E7827" w:rsidRDefault="002E7827" w:rsidP="006B76E3">
      <w:pPr>
        <w:ind w:left="720" w:hanging="720"/>
      </w:pPr>
      <w:proofErr w:type="gramStart"/>
      <w:r>
        <w:t>Cantrell, B.</w:t>
      </w:r>
      <w:r w:rsidR="00191C1D">
        <w:t xml:space="preserve"> </w:t>
      </w:r>
      <w:r>
        <w:t>W.,</w:t>
      </w:r>
      <w:r w:rsidR="006073E7">
        <w:t xml:space="preserve"> J.</w:t>
      </w:r>
      <w:r w:rsidR="00191C1D">
        <w:t xml:space="preserve"> </w:t>
      </w:r>
      <w:r w:rsidR="006073E7">
        <w:t>M.</w:t>
      </w:r>
      <w:r>
        <w:t xml:space="preserve"> McInnis, </w:t>
      </w:r>
      <w:r w:rsidR="006073E7">
        <w:t>and C.</w:t>
      </w:r>
      <w:r w:rsidR="00191C1D">
        <w:t xml:space="preserve"> </w:t>
      </w:r>
      <w:r w:rsidR="006073E7">
        <w:t>G.</w:t>
      </w:r>
      <w:r w:rsidR="00FD419E">
        <w:t xml:space="preserve"> </w:t>
      </w:r>
      <w:proofErr w:type="spellStart"/>
      <w:r>
        <w:t>Yust</w:t>
      </w:r>
      <w:proofErr w:type="spellEnd"/>
      <w:r w:rsidR="00FD419E">
        <w:t>.</w:t>
      </w:r>
      <w:proofErr w:type="gramEnd"/>
      <w:r>
        <w:t xml:space="preserve"> 2011. Predicting Credit Losses: Loan Fair Values </w:t>
      </w:r>
      <w:proofErr w:type="gramStart"/>
      <w:r>
        <w:t>Versus</w:t>
      </w:r>
      <w:proofErr w:type="gramEnd"/>
      <w:r>
        <w:t xml:space="preserve"> Historical Costs. Available at SSRN: </w:t>
      </w:r>
      <w:hyperlink r:id="rId19" w:history="1">
        <w:r>
          <w:rPr>
            <w:rStyle w:val="Hyperlink"/>
          </w:rPr>
          <w:t>http://papers.ssrn.com/sol3/papers.cfm?abstract_id=1807081</w:t>
        </w:r>
      </w:hyperlink>
      <w:r>
        <w:t xml:space="preserve">. </w:t>
      </w:r>
    </w:p>
    <w:p w:rsidR="002E7827" w:rsidRDefault="002E7827" w:rsidP="006B76E3">
      <w:pPr>
        <w:ind w:left="720" w:hanging="720"/>
      </w:pPr>
    </w:p>
    <w:p w:rsidR="00813E76" w:rsidRDefault="00813E76" w:rsidP="00813E76">
      <w:pPr>
        <w:ind w:left="720" w:hanging="720"/>
      </w:pPr>
      <w:proofErr w:type="gramStart"/>
      <w:r w:rsidRPr="001A55AC">
        <w:t>CFA Institute Centre for Financial Market Integrity, the Center for Audit Quality, the Consumer Federation of America, and the Council of Institutional Investors</w:t>
      </w:r>
      <w:r>
        <w:t>.</w:t>
      </w:r>
      <w:proofErr w:type="gramEnd"/>
      <w:r w:rsidRPr="001A55AC">
        <w:t xml:space="preserve"> 2008</w:t>
      </w:r>
      <w:r>
        <w:t xml:space="preserve">a. “Fair Value Supporters Urge SEC Not to Suspend Mark-to-Market Accounting Rule,” Press Release of Letter to SEC, October 15. Available at </w:t>
      </w:r>
      <w:hyperlink r:id="rId20" w:history="1">
        <w:r>
          <w:rPr>
            <w:rStyle w:val="Hyperlink"/>
          </w:rPr>
          <w:t>http://www.cfainstitute.org/about/press/release/Pages/10152008_16447.aspx</w:t>
        </w:r>
      </w:hyperlink>
      <w:r>
        <w:t>; Last Accessed: 10/30/2012.</w:t>
      </w:r>
    </w:p>
    <w:p w:rsidR="00813E76" w:rsidRDefault="00813E76" w:rsidP="00813E76">
      <w:pPr>
        <w:ind w:left="720" w:hanging="720"/>
      </w:pPr>
    </w:p>
    <w:p w:rsidR="001002FA" w:rsidRDefault="001002FA" w:rsidP="006B76E3">
      <w:pPr>
        <w:ind w:left="720" w:hanging="720"/>
        <w:rPr>
          <w:color w:val="333333"/>
        </w:rPr>
      </w:pPr>
      <w:proofErr w:type="gramStart"/>
      <w:r w:rsidRPr="001A55AC">
        <w:t>Chartered Financial Analyst (CFA) Institute Centre for Financial Market Integrity</w:t>
      </w:r>
      <w:r w:rsidR="006073E7">
        <w:t>.</w:t>
      </w:r>
      <w:proofErr w:type="gramEnd"/>
      <w:r w:rsidRPr="001A55AC">
        <w:t xml:space="preserve"> 2008</w:t>
      </w:r>
      <w:r w:rsidR="00813E76">
        <w:t>b</w:t>
      </w:r>
      <w:r w:rsidR="00646505">
        <w:t xml:space="preserve">. </w:t>
      </w:r>
      <w:r w:rsidRPr="001A55AC">
        <w:t>“CFA Institute Centre Says Fair Value ‘Smoothing’ Will Mask the Reality of Market Conditions and Allow Companies to Hide Risk,” Press Release, April 17. Available at</w:t>
      </w:r>
      <w:r>
        <w:rPr>
          <w:color w:val="333333"/>
        </w:rPr>
        <w:t xml:space="preserve"> </w:t>
      </w:r>
      <w:hyperlink r:id="rId21" w:history="1">
        <w:r w:rsidR="00C94323">
          <w:rPr>
            <w:rStyle w:val="Hyperlink"/>
          </w:rPr>
          <w:t>http://www.cfainstitute.org/about/press/release/Pages/04172008_16457.aspx</w:t>
        </w:r>
      </w:hyperlink>
      <w:r>
        <w:t xml:space="preserve">; Last Accessed: </w:t>
      </w:r>
      <w:r w:rsidR="00C94323">
        <w:t>10/30/2012</w:t>
      </w:r>
      <w:r>
        <w:t>.</w:t>
      </w:r>
    </w:p>
    <w:p w:rsidR="001002FA" w:rsidRDefault="001002FA" w:rsidP="006B76E3">
      <w:pPr>
        <w:ind w:left="720" w:hanging="480"/>
      </w:pPr>
    </w:p>
    <w:p w:rsidR="00F7236C" w:rsidRDefault="00F7236C" w:rsidP="00F7236C">
      <w:pPr>
        <w:ind w:left="720" w:hanging="720"/>
      </w:pPr>
      <w:proofErr w:type="gramStart"/>
      <w:r w:rsidRPr="00F7236C">
        <w:t>Cheng, M.</w:t>
      </w:r>
      <w:r w:rsidR="00843744">
        <w:t xml:space="preserve"> and M.</w:t>
      </w:r>
      <w:r w:rsidRPr="00F7236C">
        <w:t xml:space="preserve"> </w:t>
      </w:r>
      <w:proofErr w:type="spellStart"/>
      <w:r w:rsidRPr="00F7236C">
        <w:t>Neamtiu</w:t>
      </w:r>
      <w:proofErr w:type="spellEnd"/>
      <w:r>
        <w:t>.</w:t>
      </w:r>
      <w:proofErr w:type="gramEnd"/>
      <w:r w:rsidRPr="00F7236C">
        <w:t xml:space="preserve"> 2009. An </w:t>
      </w:r>
      <w:r w:rsidR="00415188">
        <w:t>E</w:t>
      </w:r>
      <w:r w:rsidR="00415188" w:rsidRPr="00F7236C">
        <w:t xml:space="preserve">mpirical </w:t>
      </w:r>
      <w:r w:rsidR="00415188">
        <w:t>A</w:t>
      </w:r>
      <w:r w:rsidR="00415188" w:rsidRPr="00F7236C">
        <w:t xml:space="preserve">nalysis </w:t>
      </w:r>
      <w:r w:rsidRPr="00F7236C">
        <w:t xml:space="preserve">of </w:t>
      </w:r>
      <w:r w:rsidR="00415188">
        <w:t>C</w:t>
      </w:r>
      <w:r w:rsidR="00415188" w:rsidRPr="00F7236C">
        <w:t xml:space="preserve">hanges </w:t>
      </w:r>
      <w:r w:rsidRPr="00F7236C">
        <w:t xml:space="preserve">in </w:t>
      </w:r>
      <w:r w:rsidR="00415188">
        <w:t>C</w:t>
      </w:r>
      <w:r w:rsidR="00415188" w:rsidRPr="00F7236C">
        <w:t xml:space="preserve">redit </w:t>
      </w:r>
      <w:r w:rsidR="00415188">
        <w:t>R</w:t>
      </w:r>
      <w:r w:rsidR="00415188" w:rsidRPr="00F7236C">
        <w:t xml:space="preserve">ating </w:t>
      </w:r>
      <w:r w:rsidR="00415188">
        <w:t>P</w:t>
      </w:r>
      <w:r w:rsidR="00415188" w:rsidRPr="00F7236C">
        <w:t>roperties</w:t>
      </w:r>
      <w:r w:rsidRPr="00F7236C">
        <w:t>:</w:t>
      </w:r>
      <w:r>
        <w:t xml:space="preserve"> </w:t>
      </w:r>
      <w:r w:rsidR="00415188">
        <w:t>T</w:t>
      </w:r>
      <w:r w:rsidRPr="00F7236C">
        <w:t xml:space="preserve">imeliness, </w:t>
      </w:r>
      <w:r w:rsidR="00415188">
        <w:t>A</w:t>
      </w:r>
      <w:r w:rsidR="00415188" w:rsidRPr="00F7236C">
        <w:t>ccuracy</w:t>
      </w:r>
      <w:r w:rsidRPr="00F7236C">
        <w:t xml:space="preserve">, and </w:t>
      </w:r>
      <w:r w:rsidR="00415188">
        <w:t>V</w:t>
      </w:r>
      <w:r w:rsidR="00415188" w:rsidRPr="00F7236C">
        <w:t>olatility</w:t>
      </w:r>
      <w:r w:rsidRPr="00F7236C">
        <w:t>. Journal of Accounting and Economics 47</w:t>
      </w:r>
      <w:r w:rsidR="00843744">
        <w:t>:</w:t>
      </w:r>
      <w:r w:rsidRPr="00F7236C">
        <w:t xml:space="preserve"> 108-130.</w:t>
      </w:r>
    </w:p>
    <w:p w:rsidR="00295C9D" w:rsidRDefault="00295C9D" w:rsidP="00F7236C">
      <w:pPr>
        <w:ind w:left="720" w:hanging="720"/>
      </w:pPr>
    </w:p>
    <w:p w:rsidR="00295C9D" w:rsidRDefault="00295C9D" w:rsidP="00295C9D">
      <w:pPr>
        <w:ind w:left="720" w:hanging="720"/>
      </w:pPr>
      <w:r>
        <w:t>Christiansen, C</w:t>
      </w:r>
      <w:r w:rsidR="00843744">
        <w:t>.</w:t>
      </w:r>
      <w:r w:rsidR="001736D9">
        <w:t xml:space="preserve"> 2002. Credit Spreads and the Term Structure of I</w:t>
      </w:r>
      <w:r>
        <w:t xml:space="preserve">nterest </w:t>
      </w:r>
      <w:r w:rsidR="001736D9">
        <w:t>R</w:t>
      </w:r>
      <w:r>
        <w:t>ates. International Review of Financial Analysis 11</w:t>
      </w:r>
      <w:r w:rsidR="00843744">
        <w:t>:</w:t>
      </w:r>
      <w:r>
        <w:t xml:space="preserve"> 279-295.</w:t>
      </w:r>
    </w:p>
    <w:p w:rsidR="00F7236C" w:rsidRDefault="00F7236C" w:rsidP="006B76E3">
      <w:pPr>
        <w:ind w:left="720" w:hanging="720"/>
      </w:pPr>
    </w:p>
    <w:p w:rsidR="001002FA" w:rsidRDefault="001002FA" w:rsidP="006B76E3">
      <w:pPr>
        <w:ind w:left="720" w:hanging="720"/>
      </w:pPr>
      <w:proofErr w:type="gramStart"/>
      <w:r w:rsidRPr="00954A48">
        <w:t>Collin-</w:t>
      </w:r>
      <w:proofErr w:type="spellStart"/>
      <w:r w:rsidRPr="00954A48">
        <w:t>Du</w:t>
      </w:r>
      <w:r>
        <w:t>fresne</w:t>
      </w:r>
      <w:proofErr w:type="spellEnd"/>
      <w:r>
        <w:t xml:space="preserve">, P., </w:t>
      </w:r>
      <w:r w:rsidR="00843744">
        <w:t>R.</w:t>
      </w:r>
      <w:r w:rsidR="00191C1D">
        <w:t xml:space="preserve"> </w:t>
      </w:r>
      <w:r w:rsidR="00843744">
        <w:t xml:space="preserve">S. </w:t>
      </w:r>
      <w:r>
        <w:t xml:space="preserve">Goldstein, </w:t>
      </w:r>
      <w:r w:rsidR="00843744">
        <w:t>and J.</w:t>
      </w:r>
      <w:r w:rsidR="00191C1D">
        <w:t xml:space="preserve"> </w:t>
      </w:r>
      <w:r w:rsidR="00843744">
        <w:t xml:space="preserve">S. </w:t>
      </w:r>
      <w:r>
        <w:t>Martin.</w:t>
      </w:r>
      <w:proofErr w:type="gramEnd"/>
      <w:r>
        <w:t xml:space="preserve"> 2001.</w:t>
      </w:r>
      <w:r w:rsidRPr="00954A48">
        <w:rPr>
          <w:sz w:val="22"/>
          <w:szCs w:val="22"/>
        </w:rPr>
        <w:t xml:space="preserve"> </w:t>
      </w:r>
      <w:r w:rsidRPr="00954A48">
        <w:t>T</w:t>
      </w:r>
      <w:r w:rsidR="001736D9">
        <w:t>he Determinants of Credit S</w:t>
      </w:r>
      <w:r w:rsidRPr="00954A48">
        <w:t xml:space="preserve">pread </w:t>
      </w:r>
      <w:r w:rsidR="001736D9">
        <w:t>C</w:t>
      </w:r>
      <w:r w:rsidRPr="00954A48">
        <w:t>hanges. The Journal of Finance 56</w:t>
      </w:r>
      <w:r>
        <w:t xml:space="preserve"> (</w:t>
      </w:r>
      <w:r w:rsidRPr="00954A48">
        <w:t>6</w:t>
      </w:r>
      <w:r>
        <w:t>)</w:t>
      </w:r>
      <w:r w:rsidR="00843744">
        <w:t>:</w:t>
      </w:r>
      <w:r w:rsidRPr="00954A48">
        <w:t xml:space="preserve"> 2177-2207</w:t>
      </w:r>
      <w:r>
        <w:t>.</w:t>
      </w:r>
      <w:r w:rsidRPr="00954A48">
        <w:t xml:space="preserve"> </w:t>
      </w:r>
    </w:p>
    <w:p w:rsidR="001002FA" w:rsidRDefault="001002FA" w:rsidP="006B76E3">
      <w:pPr>
        <w:ind w:left="720" w:hanging="720"/>
      </w:pPr>
    </w:p>
    <w:p w:rsidR="001B3B84" w:rsidRDefault="001B3B84" w:rsidP="001B3B84">
      <w:pPr>
        <w:ind w:left="720" w:hanging="720"/>
      </w:pPr>
      <w:proofErr w:type="spellStart"/>
      <w:proofErr w:type="gramStart"/>
      <w:r>
        <w:t>Dichev</w:t>
      </w:r>
      <w:proofErr w:type="spellEnd"/>
      <w:r w:rsidR="00FD419E">
        <w:t>, I.</w:t>
      </w:r>
      <w:r w:rsidR="00191C1D">
        <w:t xml:space="preserve"> </w:t>
      </w:r>
      <w:r w:rsidR="00FD419E">
        <w:t>D. 1998.</w:t>
      </w:r>
      <w:proofErr w:type="gramEnd"/>
      <w:r w:rsidR="00FD419E">
        <w:t xml:space="preserve"> Is the Risk of Bankruptcy a Systematic Risk? The Journal of Finance 53 (3)</w:t>
      </w:r>
      <w:r w:rsidR="00013CA3">
        <w:t>:</w:t>
      </w:r>
      <w:r w:rsidR="00FD419E">
        <w:t xml:space="preserve"> 1131-1147.</w:t>
      </w:r>
    </w:p>
    <w:p w:rsidR="00191C1D" w:rsidRDefault="00191C1D" w:rsidP="001B3B84">
      <w:pPr>
        <w:ind w:left="720" w:hanging="720"/>
      </w:pPr>
    </w:p>
    <w:p w:rsidR="001002FA" w:rsidRDefault="001002FA" w:rsidP="006B76E3">
      <w:pPr>
        <w:ind w:left="720" w:hanging="720"/>
      </w:pPr>
      <w:proofErr w:type="spellStart"/>
      <w:r>
        <w:t>Duffee</w:t>
      </w:r>
      <w:proofErr w:type="spellEnd"/>
      <w:r>
        <w:t>, G.</w:t>
      </w:r>
      <w:r w:rsidR="00191C1D">
        <w:t xml:space="preserve"> </w:t>
      </w:r>
      <w:r>
        <w:t>R. 1998. The Relation Between Treasury Yields and Corporate Bond Yield Spreads. The Journal of Finance 53 (6)</w:t>
      </w:r>
      <w:r w:rsidR="00013CA3">
        <w:t>:</w:t>
      </w:r>
      <w:r>
        <w:t xml:space="preserve"> 2225-2241.</w:t>
      </w:r>
    </w:p>
    <w:p w:rsidR="005119D2" w:rsidRDefault="005119D2" w:rsidP="006B76E3">
      <w:pPr>
        <w:ind w:left="720" w:hanging="720"/>
      </w:pPr>
    </w:p>
    <w:p w:rsidR="005119D2" w:rsidRDefault="005119D2" w:rsidP="006B76E3">
      <w:pPr>
        <w:ind w:left="720" w:hanging="720"/>
      </w:pPr>
      <w:proofErr w:type="gramStart"/>
      <w:r>
        <w:lastRenderedPageBreak/>
        <w:t>Eccher, E.</w:t>
      </w:r>
      <w:r w:rsidR="00191C1D">
        <w:t xml:space="preserve"> </w:t>
      </w:r>
      <w:r>
        <w:t xml:space="preserve">A., </w:t>
      </w:r>
      <w:r w:rsidR="00013CA3">
        <w:t xml:space="preserve">K. </w:t>
      </w:r>
      <w:r>
        <w:t xml:space="preserve">Ramesh, </w:t>
      </w:r>
      <w:r w:rsidR="00013CA3">
        <w:t>and S.</w:t>
      </w:r>
      <w:r w:rsidR="00191C1D">
        <w:t xml:space="preserve"> </w:t>
      </w:r>
      <w:proofErr w:type="spellStart"/>
      <w:r w:rsidR="00013CA3">
        <w:t>R.</w:t>
      </w:r>
      <w:r>
        <w:t>Thiagarajan</w:t>
      </w:r>
      <w:proofErr w:type="spellEnd"/>
      <w:r>
        <w:t>.</w:t>
      </w:r>
      <w:proofErr w:type="gramEnd"/>
      <w:r>
        <w:t xml:space="preserve"> 1996. Fair Value Disclosures by Bank Holding Companies. Journal of Accounting and Economics 22 (1-3)</w:t>
      </w:r>
      <w:r w:rsidR="00013CA3">
        <w:t>:</w:t>
      </w:r>
      <w:r>
        <w:t xml:space="preserve"> 79-117.</w:t>
      </w:r>
    </w:p>
    <w:p w:rsidR="001002FA" w:rsidRDefault="001002FA" w:rsidP="006B76E3">
      <w:pPr>
        <w:ind w:left="720" w:hanging="720"/>
      </w:pPr>
    </w:p>
    <w:p w:rsidR="00E15888" w:rsidRDefault="001002FA">
      <w:pPr>
        <w:ind w:left="720" w:hanging="720"/>
      </w:pPr>
      <w:proofErr w:type="gramStart"/>
      <w:r>
        <w:t>Financial Accounting Standards Board</w:t>
      </w:r>
      <w:r w:rsidR="00013CA3">
        <w:t>.</w:t>
      </w:r>
      <w:proofErr w:type="gramEnd"/>
      <w:r>
        <w:t xml:space="preserve"> 2010. Accounting for Financial Instruments </w:t>
      </w:r>
      <w:r w:rsidR="008B4808">
        <w:t>and Revisions to the Accounting for Derivative Instruments and Hedging Activities</w:t>
      </w:r>
      <w:r w:rsidR="00646505">
        <w:t xml:space="preserve">. </w:t>
      </w:r>
      <w:r w:rsidR="008B4808">
        <w:t>Exposure Draft: Proposed Accounting Standards Update</w:t>
      </w:r>
      <w:r w:rsidR="00646505">
        <w:t xml:space="preserve">. </w:t>
      </w:r>
    </w:p>
    <w:p w:rsidR="00B97EBD" w:rsidRDefault="00B97EBD">
      <w:pPr>
        <w:ind w:left="720" w:hanging="720"/>
      </w:pPr>
    </w:p>
    <w:p w:rsidR="005119D2" w:rsidRDefault="00B97EBD" w:rsidP="00B97EBD">
      <w:pPr>
        <w:ind w:left="720" w:hanging="720"/>
      </w:pPr>
      <w:proofErr w:type="gramStart"/>
      <w:r>
        <w:t>Financial Accounting Standards Board</w:t>
      </w:r>
      <w:r w:rsidR="00013CA3">
        <w:t>.</w:t>
      </w:r>
      <w:proofErr w:type="gramEnd"/>
      <w:r>
        <w:t xml:space="preserve"> 201</w:t>
      </w:r>
      <w:r w:rsidR="00BA0FD0">
        <w:t>3</w:t>
      </w:r>
      <w:r>
        <w:t xml:space="preserve">. </w:t>
      </w:r>
      <w:r w:rsidR="00BA0FD0">
        <w:t>Recognition and Measurement of Financial Assets and Financial Liabilities. Exposure Draft: Proposed Accounting Standards Update.</w:t>
      </w:r>
    </w:p>
    <w:p w:rsidR="00BA0FD0" w:rsidRDefault="00BA0FD0" w:rsidP="00B97EBD">
      <w:pPr>
        <w:ind w:left="720" w:hanging="720"/>
      </w:pPr>
    </w:p>
    <w:p w:rsidR="005119D2" w:rsidRDefault="005119D2" w:rsidP="00B97EBD">
      <w:pPr>
        <w:ind w:left="720" w:hanging="720"/>
      </w:pPr>
      <w:proofErr w:type="gramStart"/>
      <w:r>
        <w:t>Financial Crisis Advisory Group</w:t>
      </w:r>
      <w:r w:rsidR="009C69E7">
        <w:t>.</w:t>
      </w:r>
      <w:proofErr w:type="gramEnd"/>
      <w:r>
        <w:t xml:space="preserve"> 2009. Report of the Financial Crisis Advisory Group.</w:t>
      </w:r>
      <w:r w:rsidR="00A80B82">
        <w:t xml:space="preserve"> Available at</w:t>
      </w:r>
      <w:r w:rsidR="00B22260">
        <w:t xml:space="preserve"> </w:t>
      </w:r>
      <w:hyperlink r:id="rId22" w:history="1">
        <w:r w:rsidR="00B22260" w:rsidRPr="00F43D2A">
          <w:rPr>
            <w:rStyle w:val="Hyperlink"/>
          </w:rPr>
          <w:t>http://www.fasb.org/cs/ContentServer?c=Document_C&amp;pagename=FASB/Document_C/DocumentPage&amp;cid=1176156365880</w:t>
        </w:r>
      </w:hyperlink>
      <w:r w:rsidR="00B22260">
        <w:rPr>
          <w:rStyle w:val="refs-comment"/>
        </w:rPr>
        <w:t xml:space="preserve"> </w:t>
      </w:r>
      <w:r w:rsidR="00A80B82">
        <w:t xml:space="preserve">(July 28); Last Accessed: </w:t>
      </w:r>
      <w:r w:rsidR="00B22260">
        <w:t>3/15/2013</w:t>
      </w:r>
      <w:r w:rsidR="00A80B82">
        <w:t>.</w:t>
      </w:r>
    </w:p>
    <w:p w:rsidR="00B97EBD" w:rsidRDefault="00B97EBD" w:rsidP="00B97EBD">
      <w:pPr>
        <w:ind w:left="720" w:hanging="720"/>
      </w:pPr>
    </w:p>
    <w:p w:rsidR="001002FA" w:rsidRDefault="001002FA" w:rsidP="006B76E3">
      <w:pPr>
        <w:pStyle w:val="Default"/>
        <w:ind w:left="720" w:hanging="720"/>
        <w:rPr>
          <w:rFonts w:ascii="Times New Roman" w:hAnsi="Times New Roman" w:cs="Times New Roman"/>
          <w:color w:val="auto"/>
          <w:lang w:eastAsia="zh-CN"/>
        </w:rPr>
      </w:pPr>
      <w:r>
        <w:rPr>
          <w:rFonts w:ascii="Times New Roman" w:hAnsi="Times New Roman" w:cs="Times New Roman"/>
          <w:color w:val="auto"/>
          <w:lang w:eastAsia="zh-CN"/>
        </w:rPr>
        <w:t xml:space="preserve">Fisher, L. 1959. </w:t>
      </w:r>
      <w:proofErr w:type="gramStart"/>
      <w:r>
        <w:rPr>
          <w:rFonts w:ascii="Times New Roman" w:hAnsi="Times New Roman" w:cs="Times New Roman"/>
          <w:color w:val="auto"/>
          <w:lang w:eastAsia="zh-CN"/>
        </w:rPr>
        <w:t>Determinants of Risk Premiums on Corporate Bonds.</w:t>
      </w:r>
      <w:proofErr w:type="gramEnd"/>
      <w:r>
        <w:rPr>
          <w:rFonts w:ascii="Times New Roman" w:hAnsi="Times New Roman" w:cs="Times New Roman"/>
          <w:color w:val="auto"/>
          <w:lang w:eastAsia="zh-CN"/>
        </w:rPr>
        <w:t xml:space="preserve"> The Journal of Political Economy 67 (3)</w:t>
      </w:r>
      <w:r w:rsidR="009C69E7">
        <w:rPr>
          <w:rFonts w:ascii="Times New Roman" w:hAnsi="Times New Roman" w:cs="Times New Roman"/>
          <w:color w:val="auto"/>
          <w:lang w:eastAsia="zh-CN"/>
        </w:rPr>
        <w:t>:</w:t>
      </w:r>
      <w:r>
        <w:rPr>
          <w:rFonts w:ascii="Times New Roman" w:hAnsi="Times New Roman" w:cs="Times New Roman"/>
          <w:color w:val="auto"/>
          <w:lang w:eastAsia="zh-CN"/>
        </w:rPr>
        <w:t xml:space="preserve"> 217-237.</w:t>
      </w:r>
    </w:p>
    <w:p w:rsidR="001002FA" w:rsidRDefault="001002FA" w:rsidP="006B76E3">
      <w:pPr>
        <w:pStyle w:val="Default"/>
        <w:ind w:left="720" w:hanging="720"/>
        <w:rPr>
          <w:rFonts w:ascii="Times New Roman" w:hAnsi="Times New Roman" w:cs="Times New Roman"/>
          <w:color w:val="auto"/>
          <w:lang w:eastAsia="zh-CN"/>
        </w:rPr>
      </w:pPr>
    </w:p>
    <w:p w:rsidR="001002FA" w:rsidRPr="0013133D" w:rsidRDefault="001002FA" w:rsidP="006B76E3">
      <w:pPr>
        <w:pStyle w:val="Default"/>
        <w:ind w:left="720" w:hanging="720"/>
        <w:rPr>
          <w:rFonts w:ascii="Times New Roman" w:hAnsi="Times New Roman" w:cs="Times New Roman"/>
          <w:color w:val="auto"/>
        </w:rPr>
      </w:pPr>
      <w:proofErr w:type="gramStart"/>
      <w:r w:rsidRPr="0013133D">
        <w:rPr>
          <w:rFonts w:ascii="Times New Roman" w:hAnsi="Times New Roman" w:cs="Times New Roman"/>
          <w:color w:val="auto"/>
          <w:lang w:eastAsia="zh-CN"/>
        </w:rPr>
        <w:t xml:space="preserve">Flannery, M. </w:t>
      </w:r>
      <w:r w:rsidR="009C69E7">
        <w:rPr>
          <w:rFonts w:ascii="Times New Roman" w:hAnsi="Times New Roman" w:cs="Times New Roman"/>
          <w:color w:val="auto"/>
          <w:lang w:eastAsia="zh-CN"/>
        </w:rPr>
        <w:t xml:space="preserve">and C. </w:t>
      </w:r>
      <w:r w:rsidRPr="0013133D">
        <w:rPr>
          <w:rFonts w:ascii="Times New Roman" w:hAnsi="Times New Roman" w:cs="Times New Roman"/>
          <w:color w:val="auto"/>
          <w:lang w:eastAsia="zh-CN"/>
        </w:rPr>
        <w:t>James.</w:t>
      </w:r>
      <w:proofErr w:type="gramEnd"/>
      <w:r w:rsidRPr="0013133D">
        <w:rPr>
          <w:rFonts w:ascii="Times New Roman" w:hAnsi="Times New Roman" w:cs="Times New Roman"/>
          <w:color w:val="auto"/>
          <w:lang w:eastAsia="zh-CN"/>
        </w:rPr>
        <w:t xml:space="preserve"> 1984. Market Evidence on the Effective Maturity of Bank Assets and Liabilities. Journal of Money, Credit</w:t>
      </w:r>
      <w:r>
        <w:rPr>
          <w:rFonts w:ascii="Times New Roman" w:hAnsi="Times New Roman" w:cs="Times New Roman"/>
          <w:color w:val="auto"/>
          <w:lang w:eastAsia="zh-CN"/>
        </w:rPr>
        <w:t>,</w:t>
      </w:r>
      <w:r w:rsidRPr="0013133D">
        <w:rPr>
          <w:rFonts w:ascii="Times New Roman" w:hAnsi="Times New Roman" w:cs="Times New Roman"/>
          <w:color w:val="auto"/>
          <w:lang w:eastAsia="zh-CN"/>
        </w:rPr>
        <w:t xml:space="preserve"> and Banking 16</w:t>
      </w:r>
      <w:r>
        <w:rPr>
          <w:rFonts w:ascii="Times New Roman" w:hAnsi="Times New Roman" w:cs="Times New Roman"/>
          <w:color w:val="auto"/>
          <w:lang w:eastAsia="zh-CN"/>
        </w:rPr>
        <w:t xml:space="preserve"> (4)</w:t>
      </w:r>
      <w:r w:rsidR="00385CE8">
        <w:rPr>
          <w:rFonts w:ascii="Times New Roman" w:hAnsi="Times New Roman" w:cs="Times New Roman"/>
          <w:color w:val="auto"/>
          <w:lang w:eastAsia="zh-CN"/>
        </w:rPr>
        <w:t>:</w:t>
      </w:r>
      <w:r w:rsidRPr="0013133D">
        <w:rPr>
          <w:rFonts w:ascii="Times New Roman" w:hAnsi="Times New Roman" w:cs="Times New Roman"/>
          <w:color w:val="auto"/>
          <w:lang w:eastAsia="zh-CN"/>
        </w:rPr>
        <w:t xml:space="preserve"> 435-445. </w:t>
      </w:r>
    </w:p>
    <w:p w:rsidR="001002FA" w:rsidRPr="0013133D" w:rsidRDefault="001002FA" w:rsidP="006B76E3">
      <w:pPr>
        <w:pStyle w:val="Default"/>
        <w:ind w:left="720" w:hanging="480"/>
        <w:rPr>
          <w:rFonts w:ascii="Times New Roman" w:hAnsi="Times New Roman" w:cs="Times New Roman"/>
          <w:color w:val="auto"/>
        </w:rPr>
      </w:pPr>
    </w:p>
    <w:p w:rsidR="0044641B" w:rsidRPr="0044641B" w:rsidRDefault="001D6855" w:rsidP="006B76E3">
      <w:pPr>
        <w:pStyle w:val="Default"/>
        <w:ind w:left="720" w:hanging="720"/>
        <w:rPr>
          <w:rFonts w:ascii="Times New Roman" w:hAnsi="Times New Roman" w:cs="Times New Roman"/>
        </w:rPr>
      </w:pPr>
      <w:proofErr w:type="gramStart"/>
      <w:r w:rsidRPr="001D6855">
        <w:rPr>
          <w:rFonts w:ascii="Times New Roman" w:hAnsi="Times New Roman" w:cs="Times New Roman"/>
        </w:rPr>
        <w:t>Flannery</w:t>
      </w:r>
      <w:r w:rsidR="0044641B">
        <w:rPr>
          <w:rFonts w:ascii="Times New Roman" w:hAnsi="Times New Roman" w:cs="Times New Roman"/>
        </w:rPr>
        <w:t xml:space="preserve">, M. </w:t>
      </w:r>
      <w:r w:rsidR="00385CE8">
        <w:rPr>
          <w:rFonts w:ascii="Times New Roman" w:hAnsi="Times New Roman" w:cs="Times New Roman"/>
        </w:rPr>
        <w:t xml:space="preserve">and S. </w:t>
      </w:r>
      <w:proofErr w:type="spellStart"/>
      <w:r w:rsidRPr="001D6855">
        <w:rPr>
          <w:rFonts w:ascii="Times New Roman" w:hAnsi="Times New Roman" w:cs="Times New Roman"/>
        </w:rPr>
        <w:t>Sorescu</w:t>
      </w:r>
      <w:proofErr w:type="spellEnd"/>
      <w:r w:rsidR="0044641B">
        <w:rPr>
          <w:rFonts w:ascii="Times New Roman" w:hAnsi="Times New Roman" w:cs="Times New Roman"/>
        </w:rPr>
        <w:t>.</w:t>
      </w:r>
      <w:proofErr w:type="gramEnd"/>
      <w:r w:rsidR="0044641B">
        <w:rPr>
          <w:rFonts w:ascii="Times New Roman" w:hAnsi="Times New Roman" w:cs="Times New Roman"/>
        </w:rPr>
        <w:t xml:space="preserve"> </w:t>
      </w:r>
      <w:r w:rsidRPr="001D6855">
        <w:rPr>
          <w:rFonts w:ascii="Times New Roman" w:hAnsi="Times New Roman" w:cs="Times New Roman"/>
        </w:rPr>
        <w:t>1996</w:t>
      </w:r>
      <w:r w:rsidR="0044641B">
        <w:rPr>
          <w:rFonts w:ascii="Times New Roman" w:hAnsi="Times New Roman" w:cs="Times New Roman"/>
        </w:rPr>
        <w:t>. Evidence of Banks Discipline in Subordinated Debenture Yields: 1983-1991. The Journal of Finance 51(4)</w:t>
      </w:r>
      <w:r w:rsidR="00385CE8">
        <w:rPr>
          <w:rFonts w:ascii="Times New Roman" w:hAnsi="Times New Roman" w:cs="Times New Roman"/>
        </w:rPr>
        <w:t>:</w:t>
      </w:r>
      <w:r w:rsidR="0044641B">
        <w:rPr>
          <w:rFonts w:ascii="Times New Roman" w:hAnsi="Times New Roman" w:cs="Times New Roman"/>
        </w:rPr>
        <w:t xml:space="preserve"> 1347-1377.</w:t>
      </w:r>
      <w:r w:rsidRPr="001D6855">
        <w:rPr>
          <w:rFonts w:ascii="Times New Roman" w:hAnsi="Times New Roman" w:cs="Times New Roman"/>
        </w:rPr>
        <w:t xml:space="preserve"> </w:t>
      </w:r>
    </w:p>
    <w:p w:rsidR="0044641B" w:rsidRDefault="0044641B" w:rsidP="006B76E3">
      <w:pPr>
        <w:pStyle w:val="Default"/>
        <w:ind w:left="720" w:hanging="720"/>
      </w:pPr>
    </w:p>
    <w:p w:rsidR="00DB2D4F" w:rsidRDefault="00DB2D4F" w:rsidP="00DB2D4F">
      <w:pPr>
        <w:tabs>
          <w:tab w:val="left" w:pos="-720"/>
          <w:tab w:val="left" w:pos="0"/>
          <w:tab w:val="left" w:pos="720"/>
          <w:tab w:val="left" w:pos="1440"/>
        </w:tabs>
        <w:suppressAutoHyphens/>
        <w:ind w:left="720" w:hanging="720"/>
      </w:pPr>
      <w:proofErr w:type="gramStart"/>
      <w:r>
        <w:t xml:space="preserve">Godwin, N., </w:t>
      </w:r>
      <w:r w:rsidR="00385CE8">
        <w:t xml:space="preserve">K. </w:t>
      </w:r>
      <w:r>
        <w:t xml:space="preserve">Petroni, </w:t>
      </w:r>
      <w:r w:rsidR="00385CE8">
        <w:t>and J.</w:t>
      </w:r>
      <w:r w:rsidR="00191C1D">
        <w:t xml:space="preserve"> </w:t>
      </w:r>
      <w:r w:rsidR="00443A4C">
        <w:t>W.</w:t>
      </w:r>
      <w:r w:rsidR="00385CE8">
        <w:t xml:space="preserve"> </w:t>
      </w:r>
      <w:r>
        <w:t>Wahlen.</w:t>
      </w:r>
      <w:proofErr w:type="gramEnd"/>
      <w:r>
        <w:t xml:space="preserve"> 1998. Fair Value Accounting for Property-Liability Insurers and Classification Decisions under SFAS 115. </w:t>
      </w:r>
      <w:r w:rsidRPr="00DB2D4F">
        <w:t>Journal of Accounting, Auditing, and Finance</w:t>
      </w:r>
      <w:r>
        <w:rPr>
          <w:i/>
        </w:rPr>
        <w:t xml:space="preserve"> </w:t>
      </w:r>
      <w:r>
        <w:t>(</w:t>
      </w:r>
      <w:proofErr w:type="gramStart"/>
      <w:r>
        <w:t>Summer</w:t>
      </w:r>
      <w:proofErr w:type="gramEnd"/>
      <w:r>
        <w:t>)</w:t>
      </w:r>
      <w:r w:rsidR="00385CE8">
        <w:t>:</w:t>
      </w:r>
      <w:r>
        <w:t xml:space="preserve"> 207-239.</w:t>
      </w:r>
    </w:p>
    <w:p w:rsidR="00DB2D4F" w:rsidRDefault="00DB2D4F" w:rsidP="006B76E3">
      <w:pPr>
        <w:pStyle w:val="Default"/>
        <w:ind w:left="720" w:hanging="720"/>
        <w:rPr>
          <w:rFonts w:ascii="Times New Roman" w:hAnsi="Times New Roman" w:cs="Times New Roman"/>
        </w:rPr>
      </w:pPr>
    </w:p>
    <w:p w:rsidR="001002FA" w:rsidRDefault="001002FA" w:rsidP="006B76E3">
      <w:pPr>
        <w:autoSpaceDE w:val="0"/>
        <w:autoSpaceDN w:val="0"/>
        <w:adjustRightInd w:val="0"/>
        <w:ind w:left="720" w:hanging="720"/>
      </w:pPr>
      <w:proofErr w:type="spellStart"/>
      <w:proofErr w:type="gramStart"/>
      <w:r>
        <w:t>Hodder</w:t>
      </w:r>
      <w:proofErr w:type="spellEnd"/>
      <w:r>
        <w:t>, L.</w:t>
      </w:r>
      <w:r w:rsidR="00191C1D">
        <w:t xml:space="preserve"> </w:t>
      </w:r>
      <w:r>
        <w:t xml:space="preserve">D, </w:t>
      </w:r>
      <w:r w:rsidR="00443A4C">
        <w:t>P.</w:t>
      </w:r>
      <w:r w:rsidR="00191C1D">
        <w:t xml:space="preserve"> </w:t>
      </w:r>
      <w:r w:rsidR="00443A4C">
        <w:t xml:space="preserve">E. </w:t>
      </w:r>
      <w:r>
        <w:t xml:space="preserve">Hopkins, </w:t>
      </w:r>
      <w:r w:rsidR="00443A4C">
        <w:t>and J.</w:t>
      </w:r>
      <w:r w:rsidR="00191C1D">
        <w:t xml:space="preserve"> </w:t>
      </w:r>
      <w:r w:rsidR="00443A4C">
        <w:t xml:space="preserve">W. </w:t>
      </w:r>
      <w:r>
        <w:t>Wahlen.</w:t>
      </w:r>
      <w:proofErr w:type="gramEnd"/>
      <w:r>
        <w:t xml:space="preserve"> 2006. Risk-</w:t>
      </w:r>
      <w:r w:rsidR="00415188">
        <w:t xml:space="preserve">Relevance </w:t>
      </w:r>
      <w:r>
        <w:t xml:space="preserve">of </w:t>
      </w:r>
      <w:r w:rsidR="00415188">
        <w:t>Fair</w:t>
      </w:r>
      <w:r>
        <w:t>-</w:t>
      </w:r>
      <w:r w:rsidR="00415188">
        <w:t>Value I</w:t>
      </w:r>
      <w:r>
        <w:t xml:space="preserve">ncome </w:t>
      </w:r>
      <w:r w:rsidR="00415188">
        <w:t xml:space="preserve">Measures </w:t>
      </w:r>
      <w:r>
        <w:t xml:space="preserve">for </w:t>
      </w:r>
      <w:r w:rsidR="00415188">
        <w:t>C</w:t>
      </w:r>
      <w:r>
        <w:t xml:space="preserve">ommercial </w:t>
      </w:r>
      <w:proofErr w:type="spellStart"/>
      <w:r w:rsidR="00415188">
        <w:t>C</w:t>
      </w:r>
      <w:r>
        <w:t>anks</w:t>
      </w:r>
      <w:proofErr w:type="spellEnd"/>
      <w:r>
        <w:t>. The Accounting Review 81 (2)</w:t>
      </w:r>
      <w:r w:rsidR="00443A4C">
        <w:t>:</w:t>
      </w:r>
      <w:r>
        <w:t xml:space="preserve"> 337-375.</w:t>
      </w:r>
    </w:p>
    <w:p w:rsidR="001002FA" w:rsidRDefault="001002FA" w:rsidP="006B76E3">
      <w:pPr>
        <w:autoSpaceDE w:val="0"/>
        <w:autoSpaceDN w:val="0"/>
        <w:adjustRightInd w:val="0"/>
        <w:ind w:left="720" w:hanging="480"/>
      </w:pPr>
    </w:p>
    <w:p w:rsidR="0020236D" w:rsidRDefault="0020236D" w:rsidP="00B81FFA">
      <w:pPr>
        <w:pStyle w:val="Default"/>
        <w:ind w:left="720" w:hanging="720"/>
        <w:rPr>
          <w:rFonts w:ascii="Times New Roman" w:hAnsi="Times New Roman" w:cs="Times New Roman"/>
        </w:rPr>
      </w:pPr>
      <w:proofErr w:type="gramStart"/>
      <w:r>
        <w:rPr>
          <w:rFonts w:ascii="Times New Roman" w:hAnsi="Times New Roman" w:cs="Times New Roman"/>
        </w:rPr>
        <w:t>International Accounting Standards Board</w:t>
      </w:r>
      <w:r w:rsidR="00443A4C">
        <w:rPr>
          <w:rFonts w:ascii="Times New Roman" w:hAnsi="Times New Roman" w:cs="Times New Roman"/>
        </w:rPr>
        <w:t>.</w:t>
      </w:r>
      <w:proofErr w:type="gramEnd"/>
      <w:r>
        <w:rPr>
          <w:rFonts w:ascii="Times New Roman" w:hAnsi="Times New Roman" w:cs="Times New Roman"/>
        </w:rPr>
        <w:t xml:space="preserve"> 2011. IFRS 13 Fair Value Measurement.</w:t>
      </w:r>
    </w:p>
    <w:p w:rsidR="00BA0FD0" w:rsidRDefault="00BA0FD0" w:rsidP="00B81FFA">
      <w:pPr>
        <w:pStyle w:val="Default"/>
        <w:ind w:left="720" w:hanging="720"/>
        <w:rPr>
          <w:rFonts w:ascii="Times New Roman" w:hAnsi="Times New Roman" w:cs="Times New Roman"/>
        </w:rPr>
      </w:pPr>
    </w:p>
    <w:p w:rsidR="00BA0FD0" w:rsidRDefault="00BA0FD0" w:rsidP="00B81FFA">
      <w:pPr>
        <w:pStyle w:val="Default"/>
        <w:ind w:left="720" w:hanging="720"/>
        <w:rPr>
          <w:rFonts w:ascii="Times New Roman" w:hAnsi="Times New Roman" w:cs="Times New Roman"/>
        </w:rPr>
      </w:pPr>
      <w:proofErr w:type="gramStart"/>
      <w:r>
        <w:rPr>
          <w:rFonts w:ascii="Times New Roman" w:hAnsi="Times New Roman" w:cs="Times New Roman"/>
        </w:rPr>
        <w:t>International Accounting Standards Board.</w:t>
      </w:r>
      <w:proofErr w:type="gramEnd"/>
      <w:r>
        <w:rPr>
          <w:rFonts w:ascii="Times New Roman" w:hAnsi="Times New Roman" w:cs="Times New Roman"/>
        </w:rPr>
        <w:t xml:space="preserve"> 2012. Exposure Draft, Classification and Measurement: Limited Amendments to IFRS 9.</w:t>
      </w:r>
    </w:p>
    <w:p w:rsidR="001002FA" w:rsidRDefault="001002FA" w:rsidP="006B76E3">
      <w:pPr>
        <w:autoSpaceDE w:val="0"/>
        <w:autoSpaceDN w:val="0"/>
        <w:adjustRightInd w:val="0"/>
        <w:ind w:left="720" w:hanging="720"/>
      </w:pPr>
    </w:p>
    <w:p w:rsidR="001002FA" w:rsidRDefault="001002FA" w:rsidP="006B76E3">
      <w:pPr>
        <w:autoSpaceDE w:val="0"/>
        <w:autoSpaceDN w:val="0"/>
        <w:adjustRightInd w:val="0"/>
        <w:ind w:left="720" w:hanging="720"/>
      </w:pPr>
      <w:proofErr w:type="gramStart"/>
      <w:r>
        <w:t>Landsman, W.</w:t>
      </w:r>
      <w:r w:rsidR="00191C1D">
        <w:t xml:space="preserve"> </w:t>
      </w:r>
      <w:r>
        <w:t>R. 2007.</w:t>
      </w:r>
      <w:proofErr w:type="gramEnd"/>
      <w:r>
        <w:t xml:space="preserve"> </w:t>
      </w:r>
      <w:r w:rsidR="001736D9">
        <w:t>Is Fair V</w:t>
      </w:r>
      <w:r w:rsidRPr="00C24489">
        <w:t xml:space="preserve">alue </w:t>
      </w:r>
      <w:r w:rsidR="001736D9">
        <w:t>Accounting I</w:t>
      </w:r>
      <w:r w:rsidRPr="00C24489">
        <w:t>nformation</w:t>
      </w:r>
      <w:r>
        <w:t xml:space="preserve"> </w:t>
      </w:r>
      <w:r w:rsidR="001736D9">
        <w:t>Relevant and R</w:t>
      </w:r>
      <w:r w:rsidRPr="00C24489">
        <w:t xml:space="preserve">eliable? </w:t>
      </w:r>
      <w:proofErr w:type="gramStart"/>
      <w:r w:rsidRPr="00C24489">
        <w:t>Evidence from</w:t>
      </w:r>
      <w:r>
        <w:t xml:space="preserve"> </w:t>
      </w:r>
      <w:r w:rsidR="001736D9">
        <w:t>C</w:t>
      </w:r>
      <w:r w:rsidRPr="00C24489">
        <w:t xml:space="preserve">apital </w:t>
      </w:r>
      <w:r w:rsidR="001736D9">
        <w:t>M</w:t>
      </w:r>
      <w:r w:rsidRPr="00C24489">
        <w:t xml:space="preserve">arket </w:t>
      </w:r>
      <w:r w:rsidR="001736D9">
        <w:t>R</w:t>
      </w:r>
      <w:r w:rsidRPr="00C24489">
        <w:t>esearch</w:t>
      </w:r>
      <w:r>
        <w:t>.</w:t>
      </w:r>
      <w:proofErr w:type="gramEnd"/>
      <w:r w:rsidRPr="00C24489">
        <w:rPr>
          <w:i/>
          <w:iCs/>
        </w:rPr>
        <w:t xml:space="preserve"> </w:t>
      </w:r>
      <w:proofErr w:type="gramStart"/>
      <w:r w:rsidRPr="00D27B21">
        <w:t>Accounting and Business Research</w:t>
      </w:r>
      <w:r w:rsidRPr="00C24489">
        <w:rPr>
          <w:i/>
          <w:iCs/>
        </w:rPr>
        <w:t xml:space="preserve"> </w:t>
      </w:r>
      <w:r w:rsidRPr="00C24489">
        <w:t>Special Issue: Intern</w:t>
      </w:r>
      <w:r>
        <w:t>ational Accounting Policy Forum,</w:t>
      </w:r>
      <w:r w:rsidRPr="00C24489">
        <w:t xml:space="preserve"> 19-30</w:t>
      </w:r>
      <w:r>
        <w:t>.</w:t>
      </w:r>
      <w:proofErr w:type="gramEnd"/>
    </w:p>
    <w:p w:rsidR="001002FA" w:rsidRDefault="001002FA" w:rsidP="006B76E3">
      <w:pPr>
        <w:autoSpaceDE w:val="0"/>
        <w:autoSpaceDN w:val="0"/>
        <w:adjustRightInd w:val="0"/>
        <w:ind w:left="720" w:hanging="720"/>
      </w:pPr>
    </w:p>
    <w:p w:rsidR="001002FA" w:rsidRPr="00C24489" w:rsidRDefault="001736D9" w:rsidP="006B76E3">
      <w:pPr>
        <w:autoSpaceDE w:val="0"/>
        <w:autoSpaceDN w:val="0"/>
        <w:adjustRightInd w:val="0"/>
        <w:ind w:left="720" w:hanging="720"/>
      </w:pPr>
      <w:proofErr w:type="spellStart"/>
      <w:proofErr w:type="gramStart"/>
      <w:r>
        <w:t>Laux</w:t>
      </w:r>
      <w:proofErr w:type="spellEnd"/>
      <w:r>
        <w:t xml:space="preserve">, C. </w:t>
      </w:r>
      <w:r w:rsidR="000C2C70">
        <w:t xml:space="preserve">and C. </w:t>
      </w:r>
      <w:proofErr w:type="spellStart"/>
      <w:r>
        <w:t>Leuz</w:t>
      </w:r>
      <w:proofErr w:type="spellEnd"/>
      <w:r>
        <w:t>.</w:t>
      </w:r>
      <w:proofErr w:type="gramEnd"/>
      <w:r>
        <w:t xml:space="preserve"> 2010. Did Fair-V</w:t>
      </w:r>
      <w:r w:rsidR="001002FA">
        <w:t>alu</w:t>
      </w:r>
      <w:r>
        <w:t>e Accounting Contribute to the Financial C</w:t>
      </w:r>
      <w:r w:rsidR="001002FA">
        <w:t xml:space="preserve">risis? Journal of Economic Perspectives </w:t>
      </w:r>
      <w:r w:rsidR="00FD419E">
        <w:t>24 (1)</w:t>
      </w:r>
      <w:r w:rsidR="000C2C70">
        <w:t>:</w:t>
      </w:r>
      <w:r w:rsidR="00FD419E">
        <w:t xml:space="preserve"> 93-118</w:t>
      </w:r>
      <w:r w:rsidR="001002FA">
        <w:t>.</w:t>
      </w:r>
    </w:p>
    <w:p w:rsidR="001002FA" w:rsidRPr="00C24489" w:rsidRDefault="001002FA" w:rsidP="006B76E3">
      <w:pPr>
        <w:autoSpaceDE w:val="0"/>
        <w:autoSpaceDN w:val="0"/>
        <w:adjustRightInd w:val="0"/>
        <w:ind w:hanging="480"/>
      </w:pPr>
    </w:p>
    <w:p w:rsidR="000102AE" w:rsidRPr="000102AE" w:rsidRDefault="000102AE" w:rsidP="000102AE">
      <w:pPr>
        <w:ind w:left="720" w:hanging="720"/>
        <w:rPr>
          <w:rFonts w:eastAsia="Times New Roman"/>
          <w:color w:val="000000"/>
          <w:lang w:eastAsia="en-US"/>
        </w:rPr>
      </w:pPr>
      <w:r>
        <w:rPr>
          <w:rFonts w:eastAsia="Times New Roman"/>
          <w:color w:val="000000"/>
          <w:lang w:eastAsia="en-US"/>
        </w:rPr>
        <w:t>Linsmeier, T. 2011</w:t>
      </w:r>
      <w:r w:rsidRPr="000102AE">
        <w:rPr>
          <w:rFonts w:eastAsia="Times New Roman"/>
          <w:color w:val="000000"/>
          <w:lang w:eastAsia="en-US"/>
        </w:rPr>
        <w:t>. Financial Reporting and Financial Crises: The Case for Measuring Financial Instruments at Fair Value in the Financial Statements. </w:t>
      </w:r>
      <w:r w:rsidRPr="000102AE">
        <w:rPr>
          <w:rFonts w:eastAsia="Times New Roman"/>
          <w:iCs/>
          <w:color w:val="000000"/>
          <w:lang w:eastAsia="en-US"/>
        </w:rPr>
        <w:t>Accounting Horizons</w:t>
      </w:r>
      <w:r w:rsidRPr="000102AE">
        <w:rPr>
          <w:rFonts w:eastAsia="Times New Roman"/>
          <w:color w:val="000000"/>
          <w:lang w:eastAsia="en-US"/>
        </w:rPr>
        <w:t> </w:t>
      </w:r>
      <w:r w:rsidRPr="000102AE">
        <w:rPr>
          <w:rFonts w:eastAsia="Times New Roman"/>
          <w:iCs/>
          <w:color w:val="000000"/>
          <w:lang w:eastAsia="en-US"/>
        </w:rPr>
        <w:t>25</w:t>
      </w:r>
      <w:r w:rsidR="00AC3A7B">
        <w:rPr>
          <w:rFonts w:eastAsia="Times New Roman"/>
          <w:iCs/>
          <w:color w:val="000000"/>
          <w:lang w:eastAsia="en-US"/>
        </w:rPr>
        <w:t xml:space="preserve"> </w:t>
      </w:r>
      <w:r w:rsidRPr="000102AE">
        <w:rPr>
          <w:rFonts w:eastAsia="Times New Roman"/>
          <w:color w:val="000000"/>
          <w:lang w:eastAsia="en-US"/>
        </w:rPr>
        <w:t>(2)</w:t>
      </w:r>
      <w:r w:rsidR="000C2C70">
        <w:rPr>
          <w:rFonts w:eastAsia="Times New Roman"/>
          <w:color w:val="000000"/>
          <w:lang w:eastAsia="en-US"/>
        </w:rPr>
        <w:t>:</w:t>
      </w:r>
      <w:r w:rsidRPr="000102AE">
        <w:rPr>
          <w:rFonts w:eastAsia="Times New Roman"/>
          <w:color w:val="000000"/>
          <w:lang w:eastAsia="en-US"/>
        </w:rPr>
        <w:t> 409-417. </w:t>
      </w:r>
    </w:p>
    <w:p w:rsidR="000102AE" w:rsidRDefault="000102AE" w:rsidP="006B76E3">
      <w:pPr>
        <w:autoSpaceDE w:val="0"/>
        <w:autoSpaceDN w:val="0"/>
        <w:adjustRightInd w:val="0"/>
        <w:ind w:left="720" w:hanging="720"/>
      </w:pPr>
    </w:p>
    <w:p w:rsidR="001002FA" w:rsidRDefault="001002FA" w:rsidP="006B76E3">
      <w:pPr>
        <w:autoSpaceDE w:val="0"/>
        <w:autoSpaceDN w:val="0"/>
        <w:adjustRightInd w:val="0"/>
        <w:ind w:left="720" w:hanging="720"/>
      </w:pPr>
      <w:proofErr w:type="spellStart"/>
      <w:r>
        <w:t>N’Diaye</w:t>
      </w:r>
      <w:proofErr w:type="spellEnd"/>
      <w:r>
        <w:t xml:space="preserve">, Y. 2009. “US FDIC’s Bair Repeats Opposition to Mark All Loans to Market.” </w:t>
      </w:r>
      <w:proofErr w:type="gramStart"/>
      <w:r>
        <w:t>Market News International</w:t>
      </w:r>
      <w:r w:rsidR="005C3DAE">
        <w:t>.</w:t>
      </w:r>
      <w:proofErr w:type="gramEnd"/>
      <w:r>
        <w:t xml:space="preserve"> November 2. </w:t>
      </w:r>
    </w:p>
    <w:p w:rsidR="005119D2" w:rsidRDefault="005119D2" w:rsidP="006B76E3">
      <w:pPr>
        <w:autoSpaceDE w:val="0"/>
        <w:autoSpaceDN w:val="0"/>
        <w:adjustRightInd w:val="0"/>
        <w:ind w:left="720" w:hanging="720"/>
      </w:pPr>
    </w:p>
    <w:p w:rsidR="005119D2" w:rsidRDefault="005119D2" w:rsidP="006B76E3">
      <w:pPr>
        <w:autoSpaceDE w:val="0"/>
        <w:autoSpaceDN w:val="0"/>
        <w:adjustRightInd w:val="0"/>
        <w:ind w:left="720" w:hanging="720"/>
      </w:pPr>
      <w:r>
        <w:t>Nelson, K.</w:t>
      </w:r>
      <w:r w:rsidR="00191C1D">
        <w:t xml:space="preserve"> </w:t>
      </w:r>
      <w:r>
        <w:t>K. 1996. Fair Value Accounting for Commercial Banks: An Empirical Analysis of SFAS No. 107. The Accounting Review 71(2)</w:t>
      </w:r>
      <w:r w:rsidR="005C3DAE">
        <w:t>:</w:t>
      </w:r>
      <w:r>
        <w:t xml:space="preserve"> 161-182.</w:t>
      </w:r>
    </w:p>
    <w:p w:rsidR="001002FA" w:rsidRDefault="001002FA" w:rsidP="006B76E3">
      <w:pPr>
        <w:ind w:left="720" w:hanging="720"/>
        <w:rPr>
          <w:rFonts w:eastAsia="Times New Roman"/>
          <w:color w:val="000000"/>
          <w:lang w:eastAsia="en-US"/>
        </w:rPr>
      </w:pPr>
    </w:p>
    <w:p w:rsidR="00C14EA9" w:rsidRDefault="00C14EA9" w:rsidP="006B76E3">
      <w:pPr>
        <w:ind w:left="720" w:hanging="720"/>
      </w:pPr>
      <w:proofErr w:type="spellStart"/>
      <w:proofErr w:type="gramStart"/>
      <w:r>
        <w:t>Plantin</w:t>
      </w:r>
      <w:proofErr w:type="spellEnd"/>
      <w:r>
        <w:t xml:space="preserve">, G., </w:t>
      </w:r>
      <w:r w:rsidR="005C3DAE">
        <w:t xml:space="preserve">H. </w:t>
      </w:r>
      <w:proofErr w:type="spellStart"/>
      <w:r>
        <w:t>Sapra</w:t>
      </w:r>
      <w:proofErr w:type="spellEnd"/>
      <w:r>
        <w:t xml:space="preserve">, </w:t>
      </w:r>
      <w:r w:rsidR="005C3DAE">
        <w:t>and H.</w:t>
      </w:r>
      <w:r w:rsidR="00191C1D">
        <w:t xml:space="preserve"> </w:t>
      </w:r>
      <w:r w:rsidR="005C3DAE">
        <w:t xml:space="preserve">S. </w:t>
      </w:r>
      <w:r>
        <w:t>Shin.</w:t>
      </w:r>
      <w:proofErr w:type="gramEnd"/>
      <w:r>
        <w:t xml:space="preserve"> 2008. </w:t>
      </w:r>
      <w:hyperlink r:id="rId23" w:history="1">
        <w:r w:rsidR="00DD6712" w:rsidRPr="00DD6712">
          <w:rPr>
            <w:rStyle w:val="Title1"/>
          </w:rPr>
          <w:t>Marking to Market: Panacea or Pandora's Box</w:t>
        </w:r>
      </w:hyperlink>
      <w:r w:rsidR="005119D2">
        <w:t>.</w:t>
      </w:r>
      <w:r w:rsidR="00DD6712" w:rsidRPr="00DD6712">
        <w:t xml:space="preserve"> </w:t>
      </w:r>
      <w:hyperlink r:id="rId24" w:history="1">
        <w:r w:rsidR="00DD6712" w:rsidRPr="00040545">
          <w:rPr>
            <w:rStyle w:val="mediatitle1"/>
            <w:i w:val="0"/>
          </w:rPr>
          <w:t>Journal of Accounting Research</w:t>
        </w:r>
      </w:hyperlink>
      <w:r w:rsidRPr="00040545">
        <w:rPr>
          <w:i/>
        </w:rPr>
        <w:t xml:space="preserve"> </w:t>
      </w:r>
      <w:r w:rsidR="00DD6712" w:rsidRPr="00DD6712">
        <w:t>46</w:t>
      </w:r>
      <w:r>
        <w:t xml:space="preserve"> (</w:t>
      </w:r>
      <w:r w:rsidR="00DD6712" w:rsidRPr="00DD6712">
        <w:t>2</w:t>
      </w:r>
      <w:r>
        <w:t>)</w:t>
      </w:r>
      <w:r w:rsidR="005C3DAE">
        <w:t>:</w:t>
      </w:r>
      <w:r w:rsidR="00DD6712" w:rsidRPr="00DD6712">
        <w:t xml:space="preserve"> 435-460.</w:t>
      </w:r>
    </w:p>
    <w:p w:rsidR="00C14EA9" w:rsidRPr="00C14EA9" w:rsidRDefault="00C14EA9" w:rsidP="006B76E3">
      <w:pPr>
        <w:ind w:left="720" w:hanging="720"/>
        <w:rPr>
          <w:rFonts w:eastAsia="Times New Roman"/>
          <w:lang w:eastAsia="en-US"/>
        </w:rPr>
      </w:pPr>
    </w:p>
    <w:p w:rsidR="001002FA" w:rsidRDefault="001002FA" w:rsidP="006B76E3">
      <w:pPr>
        <w:ind w:left="720" w:hanging="720"/>
        <w:rPr>
          <w:rFonts w:eastAsia="Times New Roman"/>
          <w:color w:val="000000"/>
          <w:lang w:eastAsia="en-US"/>
        </w:rPr>
      </w:pPr>
      <w:r>
        <w:rPr>
          <w:rFonts w:eastAsia="Times New Roman"/>
          <w:color w:val="000000"/>
          <w:lang w:eastAsia="en-US"/>
        </w:rPr>
        <w:t>Shaffer, S. 2010. Fair Value Accounting: Villain or Innocent Victim</w:t>
      </w:r>
      <w:r w:rsidR="00AC3A7B">
        <w:rPr>
          <w:rFonts w:eastAsia="Times New Roman"/>
          <w:color w:val="000000"/>
          <w:lang w:eastAsia="en-US"/>
        </w:rPr>
        <w:t>—</w:t>
      </w:r>
      <w:r>
        <w:rPr>
          <w:rFonts w:eastAsia="Times New Roman"/>
          <w:color w:val="000000"/>
          <w:lang w:eastAsia="en-US"/>
        </w:rPr>
        <w:t xml:space="preserve">Exploring the Links Between Fair Value Accounting, Bank Regulatory Capital and the Recent Financial Crisis, January 31. </w:t>
      </w:r>
      <w:proofErr w:type="gramStart"/>
      <w:r>
        <w:rPr>
          <w:rFonts w:eastAsia="Times New Roman"/>
          <w:color w:val="000000"/>
          <w:lang w:eastAsia="en-US"/>
        </w:rPr>
        <w:t>FRB of Boston Quantitative Analysis Unit Working Paper no. 10-01.</w:t>
      </w:r>
      <w:proofErr w:type="gramEnd"/>
      <w:r>
        <w:rPr>
          <w:rFonts w:eastAsia="Times New Roman"/>
          <w:color w:val="000000"/>
          <w:lang w:eastAsia="en-US"/>
        </w:rPr>
        <w:t xml:space="preserve"> Available at SSRN: </w:t>
      </w:r>
      <w:hyperlink r:id="rId25" w:history="1">
        <w:r w:rsidRPr="006C41AD">
          <w:rPr>
            <w:rStyle w:val="Hyperlink"/>
            <w:rFonts w:eastAsia="Times New Roman"/>
            <w:lang w:eastAsia="en-US"/>
          </w:rPr>
          <w:t>http://ssrn.com/abstract=1543210</w:t>
        </w:r>
      </w:hyperlink>
      <w:r>
        <w:rPr>
          <w:rFonts w:eastAsia="Times New Roman"/>
          <w:color w:val="000000"/>
          <w:lang w:eastAsia="en-US"/>
        </w:rPr>
        <w:t xml:space="preserve">; Last Accessed: 2/25/2010 </w:t>
      </w:r>
    </w:p>
    <w:p w:rsidR="001002FA" w:rsidRDefault="001002FA" w:rsidP="006B76E3">
      <w:pPr>
        <w:ind w:left="720" w:hanging="720"/>
        <w:rPr>
          <w:rFonts w:eastAsia="Times New Roman"/>
          <w:color w:val="000000"/>
          <w:lang w:eastAsia="en-US"/>
        </w:rPr>
      </w:pPr>
    </w:p>
    <w:p w:rsidR="001002FA" w:rsidRPr="00D27B21" w:rsidRDefault="001002FA" w:rsidP="006B76E3">
      <w:pPr>
        <w:ind w:left="720" w:hanging="720"/>
        <w:rPr>
          <w:rFonts w:eastAsia="Times New Roman"/>
          <w:color w:val="000000"/>
          <w:lang w:eastAsia="en-US"/>
        </w:rPr>
      </w:pPr>
      <w:proofErr w:type="gramStart"/>
      <w:r w:rsidRPr="00D27B21">
        <w:rPr>
          <w:rFonts w:eastAsia="Times New Roman"/>
          <w:color w:val="000000"/>
          <w:lang w:eastAsia="en-US"/>
        </w:rPr>
        <w:t>Sloan,</w:t>
      </w:r>
      <w:r>
        <w:rPr>
          <w:rFonts w:eastAsia="Times New Roman"/>
          <w:color w:val="000000"/>
          <w:lang w:eastAsia="en-US"/>
        </w:rPr>
        <w:t xml:space="preserve"> S. </w:t>
      </w:r>
      <w:r w:rsidR="001248EE">
        <w:rPr>
          <w:rFonts w:eastAsia="Times New Roman"/>
          <w:color w:val="000000"/>
          <w:lang w:eastAsia="en-US"/>
        </w:rPr>
        <w:t xml:space="preserve">and C. </w:t>
      </w:r>
      <w:r>
        <w:rPr>
          <w:rFonts w:eastAsia="Times New Roman"/>
          <w:color w:val="000000"/>
          <w:lang w:eastAsia="en-US"/>
        </w:rPr>
        <w:t>Hopkins.</w:t>
      </w:r>
      <w:proofErr w:type="gramEnd"/>
      <w:r>
        <w:rPr>
          <w:rFonts w:eastAsia="Times New Roman"/>
          <w:color w:val="000000"/>
          <w:lang w:eastAsia="en-US"/>
        </w:rPr>
        <w:t xml:space="preserve"> 2009. “Stress-Test Detail Points No Clear Path for Capital.” </w:t>
      </w:r>
      <w:proofErr w:type="gramStart"/>
      <w:r>
        <w:rPr>
          <w:rFonts w:eastAsia="Times New Roman"/>
          <w:color w:val="000000"/>
          <w:lang w:eastAsia="en-US"/>
        </w:rPr>
        <w:t>American Banker</w:t>
      </w:r>
      <w:r w:rsidR="001248EE">
        <w:rPr>
          <w:rFonts w:eastAsia="Times New Roman"/>
          <w:color w:val="000000"/>
          <w:lang w:eastAsia="en-US"/>
        </w:rPr>
        <w:t>.</w:t>
      </w:r>
      <w:proofErr w:type="gramEnd"/>
      <w:r>
        <w:rPr>
          <w:rFonts w:eastAsia="Times New Roman"/>
          <w:color w:val="000000"/>
          <w:lang w:eastAsia="en-US"/>
        </w:rPr>
        <w:t xml:space="preserve"> </w:t>
      </w:r>
      <w:r w:rsidR="001907A1">
        <w:rPr>
          <w:rFonts w:eastAsia="Times New Roman"/>
          <w:color w:val="000000"/>
          <w:lang w:eastAsia="en-US"/>
        </w:rPr>
        <w:t>April 27</w:t>
      </w:r>
      <w:r>
        <w:rPr>
          <w:rFonts w:eastAsia="Times New Roman"/>
          <w:color w:val="000000"/>
          <w:lang w:eastAsia="en-US"/>
        </w:rPr>
        <w:t>.</w:t>
      </w:r>
    </w:p>
    <w:p w:rsidR="001002FA" w:rsidRDefault="001002FA" w:rsidP="006B76E3">
      <w:pPr>
        <w:ind w:left="720" w:hanging="720"/>
      </w:pPr>
    </w:p>
    <w:p w:rsidR="001002FA" w:rsidRDefault="001002FA" w:rsidP="006B76E3">
      <w:pPr>
        <w:ind w:left="720" w:hanging="720"/>
      </w:pPr>
      <w:proofErr w:type="gramStart"/>
      <w:r>
        <w:t>Steering Committee on Financial Instruments</w:t>
      </w:r>
      <w:r w:rsidR="001248EE">
        <w:t>.</w:t>
      </w:r>
      <w:proofErr w:type="gramEnd"/>
      <w:r>
        <w:t xml:space="preserve"> 1997. Accounting for </w:t>
      </w:r>
      <w:r w:rsidR="001736D9">
        <w:t>F</w:t>
      </w:r>
      <w:r>
        <w:t xml:space="preserve">inancial </w:t>
      </w:r>
      <w:r w:rsidR="001736D9">
        <w:t>A</w:t>
      </w:r>
      <w:r>
        <w:t xml:space="preserve">ssets and </w:t>
      </w:r>
      <w:r w:rsidR="001736D9">
        <w:t>F</w:t>
      </w:r>
      <w:r>
        <w:t xml:space="preserve">inancial </w:t>
      </w:r>
      <w:r w:rsidR="001736D9">
        <w:t>L</w:t>
      </w:r>
      <w:r>
        <w:t xml:space="preserve">iabilities: </w:t>
      </w:r>
      <w:r w:rsidR="001736D9">
        <w:t>A</w:t>
      </w:r>
      <w:r>
        <w:t xml:space="preserve"> </w:t>
      </w:r>
      <w:r w:rsidR="001736D9">
        <w:t>D</w:t>
      </w:r>
      <w:r>
        <w:t xml:space="preserve">iscussion </w:t>
      </w:r>
      <w:r w:rsidR="001736D9">
        <w:t xml:space="preserve">Paper </w:t>
      </w:r>
      <w:r w:rsidR="001248EE">
        <w:t>I</w:t>
      </w:r>
      <w:r>
        <w:t xml:space="preserve">ssued for </w:t>
      </w:r>
      <w:r w:rsidR="001736D9">
        <w:t>C</w:t>
      </w:r>
      <w:r>
        <w:t>omment by the Steering Committee on Financial Instruments. London: International Accounting Standards Committee.</w:t>
      </w:r>
    </w:p>
    <w:p w:rsidR="00295C9D" w:rsidRDefault="00295C9D" w:rsidP="006B76E3">
      <w:pPr>
        <w:ind w:left="720" w:hanging="720"/>
      </w:pPr>
    </w:p>
    <w:p w:rsidR="00295C9D" w:rsidRPr="00BF16BF" w:rsidRDefault="00295C9D" w:rsidP="00295C9D">
      <w:pPr>
        <w:pStyle w:val="Default"/>
        <w:ind w:left="720" w:hanging="720"/>
        <w:rPr>
          <w:rFonts w:ascii="Times New Roman" w:hAnsi="Times New Roman" w:cs="Times New Roman"/>
        </w:rPr>
      </w:pPr>
      <w:proofErr w:type="gramStart"/>
      <w:r>
        <w:rPr>
          <w:rFonts w:ascii="Times New Roman" w:hAnsi="Times New Roman" w:cs="Times New Roman"/>
        </w:rPr>
        <w:t>United States Government Accountability Office (</w:t>
      </w:r>
      <w:r w:rsidR="00813E76">
        <w:rPr>
          <w:rFonts w:ascii="Times New Roman" w:hAnsi="Times New Roman" w:cs="Times New Roman"/>
        </w:rPr>
        <w:t xml:space="preserve">US </w:t>
      </w:r>
      <w:r>
        <w:rPr>
          <w:rFonts w:ascii="Times New Roman" w:hAnsi="Times New Roman" w:cs="Times New Roman"/>
        </w:rPr>
        <w:t>GAO)</w:t>
      </w:r>
      <w:r w:rsidR="001248EE">
        <w:rPr>
          <w:rFonts w:ascii="Times New Roman" w:hAnsi="Times New Roman" w:cs="Times New Roman"/>
        </w:rPr>
        <w:t>.</w:t>
      </w:r>
      <w:proofErr w:type="gramEnd"/>
      <w:r>
        <w:rPr>
          <w:rFonts w:ascii="Times New Roman" w:hAnsi="Times New Roman" w:cs="Times New Roman"/>
        </w:rPr>
        <w:t xml:space="preserve"> </w:t>
      </w:r>
      <w:r w:rsidRPr="00BF16BF">
        <w:rPr>
          <w:rFonts w:ascii="Times New Roman" w:hAnsi="Times New Roman" w:cs="Times New Roman"/>
        </w:rPr>
        <w:t>2009</w:t>
      </w:r>
      <w:r>
        <w:rPr>
          <w:rFonts w:ascii="Times New Roman" w:hAnsi="Times New Roman" w:cs="Times New Roman"/>
        </w:rPr>
        <w:t>.</w:t>
      </w:r>
      <w:r w:rsidRPr="00BF16BF">
        <w:rPr>
          <w:rFonts w:ascii="Times New Roman" w:hAnsi="Times New Roman" w:cs="Times New Roman"/>
        </w:rPr>
        <w:t xml:space="preserve"> Financial Crisis Highlights Need to Improve Oversight of Leverage at Financial Institutions and across System</w:t>
      </w:r>
      <w:r>
        <w:rPr>
          <w:rFonts w:ascii="Times New Roman" w:hAnsi="Times New Roman" w:cs="Times New Roman"/>
        </w:rPr>
        <w:t xml:space="preserve">, GAO-09-739, </w:t>
      </w:r>
      <w:proofErr w:type="gramStart"/>
      <w:r>
        <w:rPr>
          <w:rFonts w:ascii="Times New Roman" w:hAnsi="Times New Roman" w:cs="Times New Roman"/>
        </w:rPr>
        <w:t>July</w:t>
      </w:r>
      <w:proofErr w:type="gramEnd"/>
      <w:r>
        <w:rPr>
          <w:rFonts w:ascii="Times New Roman" w:hAnsi="Times New Roman" w:cs="Times New Roman"/>
        </w:rPr>
        <w:t xml:space="preserve">. Available at: </w:t>
      </w:r>
      <w:r w:rsidRPr="00BF16BF">
        <w:rPr>
          <w:rFonts w:ascii="Times New Roman" w:hAnsi="Times New Roman" w:cs="Times New Roman"/>
        </w:rPr>
        <w:t xml:space="preserve"> </w:t>
      </w:r>
      <w:hyperlink r:id="rId26" w:history="1">
        <w:r w:rsidRPr="00C608C3">
          <w:rPr>
            <w:rStyle w:val="Hyperlink"/>
            <w:rFonts w:ascii="Times New Roman" w:hAnsi="Times New Roman" w:cs="Times New Roman"/>
          </w:rPr>
          <w:t>http://www.gao.gov/new.items/d09739.pdf</w:t>
        </w:r>
      </w:hyperlink>
      <w:r w:rsidR="001248EE">
        <w:t>.</w:t>
      </w:r>
      <w:r>
        <w:t xml:space="preserve"> </w:t>
      </w:r>
      <w:proofErr w:type="gramStart"/>
      <w:r w:rsidRPr="00C608C3">
        <w:rPr>
          <w:rFonts w:ascii="Times New Roman" w:hAnsi="Times New Roman" w:cs="Times New Roman"/>
        </w:rPr>
        <w:t>Last Accessed</w:t>
      </w:r>
      <w:r>
        <w:rPr>
          <w:rFonts w:ascii="Times New Roman" w:hAnsi="Times New Roman" w:cs="Times New Roman"/>
        </w:rPr>
        <w:t>:</w:t>
      </w:r>
      <w:r w:rsidRPr="00C608C3">
        <w:rPr>
          <w:rFonts w:ascii="Times New Roman" w:hAnsi="Times New Roman" w:cs="Times New Roman"/>
        </w:rPr>
        <w:t xml:space="preserve"> 3/2/2010.</w:t>
      </w:r>
      <w:proofErr w:type="gramEnd"/>
    </w:p>
    <w:p w:rsidR="001002FA" w:rsidRDefault="001002FA" w:rsidP="006B76E3">
      <w:pPr>
        <w:ind w:left="720" w:hanging="720"/>
      </w:pPr>
    </w:p>
    <w:p w:rsidR="001002FA" w:rsidRPr="00760455" w:rsidRDefault="001002FA" w:rsidP="00760455">
      <w:pPr>
        <w:autoSpaceDE w:val="0"/>
        <w:autoSpaceDN w:val="0"/>
        <w:adjustRightInd w:val="0"/>
        <w:ind w:left="720" w:hanging="720"/>
        <w:rPr>
          <w:lang w:eastAsia="en-US"/>
        </w:rPr>
      </w:pPr>
      <w:proofErr w:type="gramStart"/>
      <w:r>
        <w:rPr>
          <w:rFonts w:eastAsia="Times New Roman"/>
          <w:color w:val="000000"/>
          <w:lang w:eastAsia="en-US"/>
        </w:rPr>
        <w:t>United States Securities and Exchange Commission</w:t>
      </w:r>
      <w:r w:rsidR="00813E76">
        <w:rPr>
          <w:rFonts w:eastAsia="Times New Roman"/>
          <w:color w:val="000000"/>
          <w:lang w:eastAsia="en-US"/>
        </w:rPr>
        <w:t xml:space="preserve"> (US SEC)</w:t>
      </w:r>
      <w:r w:rsidR="001248EE">
        <w:rPr>
          <w:rFonts w:eastAsia="Times New Roman"/>
          <w:color w:val="000000"/>
          <w:lang w:eastAsia="en-US"/>
        </w:rPr>
        <w:t>.</w:t>
      </w:r>
      <w:proofErr w:type="gramEnd"/>
      <w:r>
        <w:rPr>
          <w:rFonts w:eastAsia="Times New Roman"/>
          <w:color w:val="000000"/>
          <w:lang w:eastAsia="en-US"/>
        </w:rPr>
        <w:t xml:space="preserve"> 2008</w:t>
      </w:r>
      <w:r w:rsidRPr="00760455">
        <w:rPr>
          <w:rFonts w:eastAsia="Times New Roman"/>
          <w:color w:val="000000"/>
          <w:lang w:eastAsia="en-US"/>
        </w:rPr>
        <w:t xml:space="preserve">. </w:t>
      </w:r>
      <w:r w:rsidRPr="00760455">
        <w:rPr>
          <w:lang w:eastAsia="en-US"/>
        </w:rPr>
        <w:t>Report and Recommendations Pursuant to Section 133 of the Emergency Economic Stabilization</w:t>
      </w:r>
      <w:r>
        <w:rPr>
          <w:lang w:eastAsia="en-US"/>
        </w:rPr>
        <w:t xml:space="preserve"> </w:t>
      </w:r>
      <w:r w:rsidRPr="00760455">
        <w:rPr>
          <w:lang w:eastAsia="en-US"/>
        </w:rPr>
        <w:t>Act of 2008: Study on Mark-To-Market Accounting</w:t>
      </w:r>
      <w:r w:rsidR="00AC3A7B">
        <w:rPr>
          <w:lang w:eastAsia="en-US"/>
        </w:rPr>
        <w:t>.</w:t>
      </w:r>
    </w:p>
    <w:p w:rsidR="001002FA" w:rsidRDefault="001002FA" w:rsidP="00760455">
      <w:pPr>
        <w:ind w:left="720" w:hanging="720"/>
        <w:rPr>
          <w:rFonts w:eastAsia="Times New Roman"/>
          <w:color w:val="000000"/>
          <w:lang w:eastAsia="en-US"/>
        </w:rPr>
      </w:pPr>
    </w:p>
    <w:p w:rsidR="001002FA" w:rsidRDefault="00FD419E" w:rsidP="006B76E3">
      <w:pPr>
        <w:ind w:left="720" w:hanging="720"/>
      </w:pPr>
      <w:proofErr w:type="spellStart"/>
      <w:proofErr w:type="gramStart"/>
      <w:r>
        <w:rPr>
          <w:lang w:eastAsia="en-US"/>
        </w:rPr>
        <w:t>Veronesi</w:t>
      </w:r>
      <w:proofErr w:type="spellEnd"/>
      <w:r>
        <w:rPr>
          <w:lang w:eastAsia="en-US"/>
        </w:rPr>
        <w:t>, P.</w:t>
      </w:r>
      <w:r w:rsidR="001248EE">
        <w:rPr>
          <w:lang w:eastAsia="en-US"/>
        </w:rPr>
        <w:t xml:space="preserve"> and L.</w:t>
      </w:r>
      <w:r>
        <w:rPr>
          <w:lang w:eastAsia="en-US"/>
        </w:rPr>
        <w:t xml:space="preserve"> </w:t>
      </w:r>
      <w:proofErr w:type="spellStart"/>
      <w:r>
        <w:rPr>
          <w:lang w:eastAsia="en-US"/>
        </w:rPr>
        <w:t>Zingales</w:t>
      </w:r>
      <w:proofErr w:type="spellEnd"/>
      <w:r>
        <w:rPr>
          <w:lang w:eastAsia="en-US"/>
        </w:rPr>
        <w:t>.</w:t>
      </w:r>
      <w:proofErr w:type="gramEnd"/>
      <w:r>
        <w:rPr>
          <w:lang w:eastAsia="en-US"/>
        </w:rPr>
        <w:t xml:space="preserve"> 2010. Paulson’s Gift. Journal of Financial Economics 97</w:t>
      </w:r>
      <w:r w:rsidR="001248EE">
        <w:rPr>
          <w:lang w:eastAsia="en-US"/>
        </w:rPr>
        <w:t>:</w:t>
      </w:r>
      <w:r>
        <w:rPr>
          <w:lang w:eastAsia="en-US"/>
        </w:rPr>
        <w:t xml:space="preserve"> 339-368.</w:t>
      </w:r>
    </w:p>
    <w:p w:rsidR="005F433B" w:rsidRDefault="005F433B">
      <w:r>
        <w:br w:type="page"/>
      </w:r>
    </w:p>
    <w:p w:rsidR="004979F0" w:rsidRDefault="0064295A" w:rsidP="004979F0">
      <w:pPr>
        <w:jc w:val="center"/>
        <w:rPr>
          <w:b/>
        </w:rPr>
      </w:pPr>
      <w:r w:rsidRPr="004979F0">
        <w:rPr>
          <w:b/>
        </w:rPr>
        <w:lastRenderedPageBreak/>
        <w:t>F</w:t>
      </w:r>
      <w:r>
        <w:rPr>
          <w:b/>
        </w:rPr>
        <w:t>IGURE</w:t>
      </w:r>
      <w:r w:rsidRPr="004979F0">
        <w:rPr>
          <w:b/>
        </w:rPr>
        <w:t xml:space="preserve"> </w:t>
      </w:r>
      <w:r w:rsidR="004979F0" w:rsidRPr="004979F0">
        <w:rPr>
          <w:b/>
        </w:rPr>
        <w:t>1</w:t>
      </w:r>
    </w:p>
    <w:p w:rsidR="004979F0" w:rsidRPr="004979F0" w:rsidRDefault="004979F0" w:rsidP="004979F0">
      <w:pPr>
        <w:jc w:val="center"/>
        <w:rPr>
          <w:b/>
        </w:rPr>
      </w:pPr>
      <w:r>
        <w:rPr>
          <w:b/>
        </w:rPr>
        <w:t>Month</w:t>
      </w:r>
      <w:r w:rsidRPr="004979F0">
        <w:rPr>
          <w:b/>
        </w:rPr>
        <w:t xml:space="preserve">-end TED spread from 1984 through </w:t>
      </w:r>
      <w:r w:rsidR="008310DA">
        <w:rPr>
          <w:b/>
        </w:rPr>
        <w:t>2010</w:t>
      </w:r>
    </w:p>
    <w:p w:rsidR="004979F0" w:rsidRPr="004979F0" w:rsidRDefault="004979F0" w:rsidP="004979F0">
      <w:pPr>
        <w:jc w:val="center"/>
        <w:rPr>
          <w:b/>
        </w:rPr>
      </w:pPr>
    </w:p>
    <w:p w:rsidR="008310DA" w:rsidRDefault="008310DA"/>
    <w:p w:rsidR="001002FA" w:rsidRDefault="001002FA"/>
    <w:p w:rsidR="004979F0" w:rsidRDefault="00404D85">
      <w:pPr>
        <w:rPr>
          <w:b/>
          <w:sz w:val="20"/>
          <w:szCs w:val="20"/>
        </w:rPr>
      </w:pPr>
      <w:r w:rsidRPr="00404D85">
        <w:rPr>
          <w:noProof/>
          <w:szCs w:val="20"/>
          <w:lang w:eastAsia="en-US"/>
        </w:rPr>
        <w:drawing>
          <wp:inline distT="0" distB="0" distL="0" distR="0">
            <wp:extent cx="5943600" cy="3095158"/>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rcRect/>
                    <a:stretch>
                      <a:fillRect/>
                    </a:stretch>
                  </pic:blipFill>
                  <pic:spPr bwMode="auto">
                    <a:xfrm>
                      <a:off x="0" y="0"/>
                      <a:ext cx="5943600" cy="3095158"/>
                    </a:xfrm>
                    <a:prstGeom prst="rect">
                      <a:avLst/>
                    </a:prstGeom>
                    <a:noFill/>
                    <a:ln w="9525">
                      <a:noFill/>
                      <a:miter lim="800000"/>
                      <a:headEnd/>
                      <a:tailEnd/>
                    </a:ln>
                  </pic:spPr>
                </pic:pic>
              </a:graphicData>
            </a:graphic>
          </wp:inline>
        </w:drawing>
      </w:r>
    </w:p>
    <w:p w:rsidR="00404D85" w:rsidRDefault="00404D85">
      <w:pPr>
        <w:rPr>
          <w:b/>
          <w:sz w:val="20"/>
          <w:szCs w:val="20"/>
        </w:rPr>
      </w:pPr>
      <w:r>
        <w:rPr>
          <w:b/>
          <w:sz w:val="20"/>
          <w:szCs w:val="20"/>
        </w:rPr>
        <w:br w:type="page"/>
      </w:r>
    </w:p>
    <w:p w:rsidR="00AD50F3" w:rsidRDefault="0064295A" w:rsidP="00AD50F3">
      <w:pPr>
        <w:jc w:val="center"/>
        <w:rPr>
          <w:b/>
          <w:sz w:val="20"/>
          <w:szCs w:val="20"/>
        </w:rPr>
      </w:pPr>
      <w:r>
        <w:rPr>
          <w:b/>
          <w:sz w:val="20"/>
          <w:szCs w:val="20"/>
        </w:rPr>
        <w:lastRenderedPageBreak/>
        <w:t xml:space="preserve">FIGURE </w:t>
      </w:r>
      <w:r w:rsidR="00AD50F3">
        <w:rPr>
          <w:b/>
          <w:sz w:val="20"/>
          <w:szCs w:val="20"/>
        </w:rPr>
        <w:t>2</w:t>
      </w:r>
    </w:p>
    <w:p w:rsidR="00AD50F3" w:rsidRDefault="00AD50F3" w:rsidP="00AD50F3">
      <w:pPr>
        <w:jc w:val="center"/>
        <w:rPr>
          <w:b/>
          <w:sz w:val="20"/>
          <w:szCs w:val="20"/>
        </w:rPr>
      </w:pPr>
      <w:r>
        <w:rPr>
          <w:b/>
          <w:sz w:val="20"/>
          <w:szCs w:val="20"/>
        </w:rPr>
        <w:t>Measurement Attributes for Leverage Measures</w:t>
      </w:r>
    </w:p>
    <w:p w:rsidR="009D0B61" w:rsidRDefault="009D0B61" w:rsidP="00AD50F3">
      <w:pPr>
        <w:jc w:val="center"/>
        <w:rPr>
          <w:b/>
          <w:sz w:val="20"/>
          <w:szCs w:val="20"/>
        </w:rPr>
      </w:pPr>
      <w:r w:rsidRPr="009D0B61">
        <w:rPr>
          <w:noProof/>
          <w:lang w:eastAsia="en-US"/>
        </w:rPr>
        <w:drawing>
          <wp:inline distT="0" distB="0" distL="0" distR="0">
            <wp:extent cx="5895975" cy="2371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5975" cy="2371725"/>
                    </a:xfrm>
                    <a:prstGeom prst="rect">
                      <a:avLst/>
                    </a:prstGeom>
                    <a:noFill/>
                    <a:ln>
                      <a:noFill/>
                    </a:ln>
                  </pic:spPr>
                </pic:pic>
              </a:graphicData>
            </a:graphic>
          </wp:inline>
        </w:drawing>
      </w:r>
    </w:p>
    <w:p w:rsidR="00AD50F3" w:rsidRDefault="00AD50F3" w:rsidP="00AD50F3">
      <w:pPr>
        <w:jc w:val="both"/>
        <w:rPr>
          <w:color w:val="000000"/>
          <w:sz w:val="20"/>
          <w:szCs w:val="20"/>
          <w:lang w:eastAsia="en-US"/>
        </w:rPr>
      </w:pPr>
      <w:r w:rsidRPr="005F433B">
        <w:rPr>
          <w:color w:val="000000"/>
          <w:sz w:val="20"/>
          <w:szCs w:val="20"/>
          <w:lang w:eastAsia="en-US"/>
        </w:rPr>
        <w:t xml:space="preserve">Banks have the option to choose to </w:t>
      </w:r>
      <w:r w:rsidR="003A02D3">
        <w:rPr>
          <w:color w:val="000000"/>
          <w:sz w:val="20"/>
          <w:szCs w:val="20"/>
          <w:lang w:eastAsia="en-US"/>
        </w:rPr>
        <w:t>measure</w:t>
      </w:r>
      <w:r w:rsidRPr="005F433B">
        <w:rPr>
          <w:color w:val="000000"/>
          <w:sz w:val="20"/>
          <w:szCs w:val="20"/>
          <w:lang w:eastAsia="en-US"/>
        </w:rPr>
        <w:t xml:space="preserve"> specific assets and liabilitie</w:t>
      </w:r>
      <w:r w:rsidR="00EB436F">
        <w:rPr>
          <w:color w:val="000000"/>
          <w:sz w:val="20"/>
          <w:szCs w:val="20"/>
          <w:lang w:eastAsia="en-US"/>
        </w:rPr>
        <w:t>s</w:t>
      </w:r>
      <w:r w:rsidR="003A02D3">
        <w:rPr>
          <w:color w:val="000000"/>
          <w:sz w:val="20"/>
          <w:szCs w:val="20"/>
          <w:lang w:eastAsia="en-US"/>
        </w:rPr>
        <w:t xml:space="preserve"> at fair value</w:t>
      </w:r>
      <w:r w:rsidRPr="005F433B">
        <w:rPr>
          <w:color w:val="000000"/>
          <w:sz w:val="20"/>
          <w:szCs w:val="20"/>
          <w:lang w:eastAsia="en-US"/>
        </w:rPr>
        <w:t>. To the extent that banks have chosen this option, the relevant assets and liabilities are included at fair value in all leverage ratios except where specifically noted for</w:t>
      </w:r>
      <w:r w:rsidRPr="005F433B">
        <w:rPr>
          <w:b/>
          <w:bCs/>
          <w:color w:val="000000"/>
          <w:sz w:val="20"/>
          <w:szCs w:val="20"/>
          <w:lang w:eastAsia="en-US"/>
        </w:rPr>
        <w:t xml:space="preserve"> TIER1</w:t>
      </w:r>
      <w:r w:rsidRPr="005F433B">
        <w:rPr>
          <w:color w:val="000000"/>
          <w:sz w:val="20"/>
          <w:szCs w:val="20"/>
          <w:lang w:eastAsia="en-US"/>
        </w:rPr>
        <w:t>.</w:t>
      </w:r>
    </w:p>
    <w:p w:rsidR="00AD50F3" w:rsidRDefault="00B116F4" w:rsidP="00AD50F3">
      <w:pPr>
        <w:jc w:val="both"/>
        <w:rPr>
          <w:sz w:val="20"/>
          <w:szCs w:val="20"/>
        </w:rPr>
      </w:pPr>
      <w:r>
        <w:rPr>
          <w:sz w:val="20"/>
          <w:szCs w:val="20"/>
          <w:vertAlign w:val="superscript"/>
        </w:rPr>
        <w:t>1</w:t>
      </w:r>
      <w:r w:rsidR="00595C23">
        <w:rPr>
          <w:sz w:val="20"/>
          <w:szCs w:val="20"/>
        </w:rPr>
        <w:t>D</w:t>
      </w:r>
      <w:r w:rsidR="00AD50F3" w:rsidRPr="005F433B">
        <w:rPr>
          <w:sz w:val="20"/>
          <w:szCs w:val="20"/>
        </w:rPr>
        <w:t xml:space="preserve">erivatives are included at fair value </w:t>
      </w:r>
      <w:r w:rsidR="00AD50F3">
        <w:rPr>
          <w:sz w:val="20"/>
          <w:szCs w:val="20"/>
        </w:rPr>
        <w:t xml:space="preserve">(cost) </w:t>
      </w:r>
      <w:r w:rsidR="00AD50F3" w:rsidRPr="005F433B">
        <w:rPr>
          <w:sz w:val="20"/>
          <w:szCs w:val="20"/>
        </w:rPr>
        <w:t xml:space="preserve">in </w:t>
      </w:r>
      <w:r w:rsidR="00AD50F3" w:rsidRPr="005F433B">
        <w:rPr>
          <w:b/>
          <w:sz w:val="20"/>
          <w:szCs w:val="20"/>
        </w:rPr>
        <w:t>GAAP</w:t>
      </w:r>
      <w:r w:rsidR="00AD50F3" w:rsidRPr="005F433B">
        <w:rPr>
          <w:sz w:val="20"/>
          <w:szCs w:val="20"/>
        </w:rPr>
        <w:t xml:space="preserve"> after</w:t>
      </w:r>
      <w:r w:rsidR="00AD50F3">
        <w:rPr>
          <w:sz w:val="20"/>
          <w:szCs w:val="20"/>
        </w:rPr>
        <w:t xml:space="preserve"> (before)</w:t>
      </w:r>
      <w:r w:rsidR="00AD50F3" w:rsidRPr="005F433B">
        <w:rPr>
          <w:sz w:val="20"/>
          <w:szCs w:val="20"/>
        </w:rPr>
        <w:t xml:space="preserve"> 1999</w:t>
      </w:r>
      <w:r w:rsidR="00AD50F3">
        <w:rPr>
          <w:sz w:val="20"/>
          <w:szCs w:val="20"/>
        </w:rPr>
        <w:t xml:space="preserve"> (2000)</w:t>
      </w:r>
      <w:r w:rsidR="00AD50F3" w:rsidRPr="005F433B">
        <w:rPr>
          <w:sz w:val="20"/>
          <w:szCs w:val="20"/>
        </w:rPr>
        <w:t>.</w:t>
      </w:r>
    </w:p>
    <w:p w:rsidR="00AD50F3" w:rsidRDefault="00B116F4" w:rsidP="00AD50F3">
      <w:pPr>
        <w:jc w:val="both"/>
        <w:rPr>
          <w:sz w:val="20"/>
          <w:szCs w:val="20"/>
        </w:rPr>
      </w:pPr>
      <w:r>
        <w:rPr>
          <w:sz w:val="20"/>
          <w:szCs w:val="20"/>
          <w:vertAlign w:val="superscript"/>
        </w:rPr>
        <w:t>2</w:t>
      </w:r>
      <w:r w:rsidR="00AD50F3" w:rsidRPr="005F433B">
        <w:rPr>
          <w:sz w:val="20"/>
          <w:szCs w:val="20"/>
        </w:rPr>
        <w:t xml:space="preserve"> All available</w:t>
      </w:r>
      <w:r w:rsidR="003A02D3">
        <w:rPr>
          <w:sz w:val="20"/>
          <w:szCs w:val="20"/>
        </w:rPr>
        <w:t>-</w:t>
      </w:r>
      <w:r w:rsidR="00AD50F3" w:rsidRPr="005F433B">
        <w:rPr>
          <w:sz w:val="20"/>
          <w:szCs w:val="20"/>
        </w:rPr>
        <w:t>for</w:t>
      </w:r>
      <w:r w:rsidR="003A02D3">
        <w:rPr>
          <w:sz w:val="20"/>
          <w:szCs w:val="20"/>
        </w:rPr>
        <w:t>-</w:t>
      </w:r>
      <w:r w:rsidR="00AD50F3" w:rsidRPr="005F433B">
        <w:rPr>
          <w:sz w:val="20"/>
          <w:szCs w:val="20"/>
        </w:rPr>
        <w:t xml:space="preserve">sale securities are measured at cost for </w:t>
      </w:r>
      <w:r w:rsidR="00AD50F3" w:rsidRPr="005F433B">
        <w:rPr>
          <w:b/>
          <w:sz w:val="20"/>
          <w:szCs w:val="20"/>
        </w:rPr>
        <w:t>TIER1</w:t>
      </w:r>
      <w:r w:rsidR="00AD50F3" w:rsidRPr="005F433B">
        <w:rPr>
          <w:sz w:val="20"/>
          <w:szCs w:val="20"/>
        </w:rPr>
        <w:t xml:space="preserve"> except for available</w:t>
      </w:r>
      <w:r w:rsidR="003A02D3">
        <w:rPr>
          <w:sz w:val="20"/>
          <w:szCs w:val="20"/>
        </w:rPr>
        <w:t>-</w:t>
      </w:r>
      <w:r w:rsidR="00AD50F3" w:rsidRPr="005F433B">
        <w:rPr>
          <w:sz w:val="20"/>
          <w:szCs w:val="20"/>
        </w:rPr>
        <w:t>for</w:t>
      </w:r>
      <w:r w:rsidR="003A02D3">
        <w:rPr>
          <w:sz w:val="20"/>
          <w:szCs w:val="20"/>
        </w:rPr>
        <w:t>-</w:t>
      </w:r>
      <w:r w:rsidR="00AD50F3" w:rsidRPr="005F433B">
        <w:rPr>
          <w:sz w:val="20"/>
          <w:szCs w:val="20"/>
        </w:rPr>
        <w:t>sale equity securities, which are measured at the lower of cost or fair value. Therefore, decreases in fair value are recognized, but increases in fair value are not recognized.</w:t>
      </w:r>
    </w:p>
    <w:p w:rsidR="00AD50F3" w:rsidRDefault="00B116F4" w:rsidP="00AD50F3">
      <w:pPr>
        <w:jc w:val="both"/>
        <w:rPr>
          <w:sz w:val="20"/>
          <w:szCs w:val="20"/>
        </w:rPr>
      </w:pPr>
      <w:r>
        <w:rPr>
          <w:sz w:val="20"/>
          <w:szCs w:val="20"/>
          <w:vertAlign w:val="superscript"/>
        </w:rPr>
        <w:t>3</w:t>
      </w:r>
      <w:r w:rsidR="00AD50F3" w:rsidRPr="005F433B">
        <w:rPr>
          <w:sz w:val="20"/>
          <w:szCs w:val="20"/>
        </w:rPr>
        <w:t xml:space="preserve">In </w:t>
      </w:r>
      <w:r w:rsidR="00AD50F3" w:rsidRPr="005F433B">
        <w:rPr>
          <w:b/>
          <w:sz w:val="20"/>
          <w:szCs w:val="20"/>
        </w:rPr>
        <w:t>TIER1</w:t>
      </w:r>
      <w:r w:rsidR="00AD50F3" w:rsidRPr="005F433B">
        <w:rPr>
          <w:sz w:val="20"/>
          <w:szCs w:val="20"/>
        </w:rPr>
        <w:t xml:space="preserve">, </w:t>
      </w:r>
      <w:r w:rsidR="00595C23">
        <w:rPr>
          <w:sz w:val="20"/>
          <w:szCs w:val="20"/>
        </w:rPr>
        <w:t xml:space="preserve">derivatives are included at cost before 2000. Beginning in 2000, </w:t>
      </w:r>
      <w:r w:rsidR="00AD50F3" w:rsidRPr="005F433B">
        <w:rPr>
          <w:sz w:val="20"/>
          <w:szCs w:val="20"/>
        </w:rPr>
        <w:t>all derivatives</w:t>
      </w:r>
      <w:r w:rsidR="00F73130">
        <w:rPr>
          <w:sz w:val="20"/>
          <w:szCs w:val="20"/>
        </w:rPr>
        <w:t xml:space="preserve"> </w:t>
      </w:r>
      <w:r w:rsidR="00595C23">
        <w:rPr>
          <w:sz w:val="20"/>
          <w:szCs w:val="20"/>
        </w:rPr>
        <w:t>are included at fair value except cash flow hedges, which are effectively included at cost (i.e., changes in fair value flowing through OCI are not included in Tier1 capital).</w:t>
      </w:r>
    </w:p>
    <w:p w:rsidR="00AD50F3" w:rsidRDefault="00B116F4" w:rsidP="00AD50F3">
      <w:pPr>
        <w:jc w:val="both"/>
        <w:rPr>
          <w:sz w:val="20"/>
          <w:szCs w:val="20"/>
        </w:rPr>
      </w:pPr>
      <w:r>
        <w:rPr>
          <w:sz w:val="20"/>
          <w:szCs w:val="20"/>
          <w:vertAlign w:val="superscript"/>
        </w:rPr>
        <w:t>4</w:t>
      </w:r>
      <w:r w:rsidR="00AD50F3" w:rsidRPr="005F433B">
        <w:rPr>
          <w:sz w:val="20"/>
          <w:szCs w:val="20"/>
        </w:rPr>
        <w:t xml:space="preserve">For liabilities </w:t>
      </w:r>
      <w:r w:rsidR="00AD50F3">
        <w:rPr>
          <w:sz w:val="20"/>
          <w:szCs w:val="20"/>
        </w:rPr>
        <w:t>that</w:t>
      </w:r>
      <w:r w:rsidR="00AD50F3" w:rsidRPr="005F433B">
        <w:rPr>
          <w:sz w:val="20"/>
          <w:szCs w:val="20"/>
        </w:rPr>
        <w:t xml:space="preserve"> banks have chosen to record at fair value, </w:t>
      </w:r>
      <w:r w:rsidR="00AD50F3" w:rsidRPr="005F433B">
        <w:rPr>
          <w:b/>
          <w:sz w:val="20"/>
          <w:szCs w:val="20"/>
        </w:rPr>
        <w:t>TIER1</w:t>
      </w:r>
      <w:r w:rsidR="00AD50F3" w:rsidRPr="005F433B">
        <w:rPr>
          <w:sz w:val="20"/>
          <w:szCs w:val="20"/>
        </w:rPr>
        <w:t xml:space="preserve"> excludes changes in the fair values that are attributable to changes in the bank's own creditworthiness.</w:t>
      </w:r>
    </w:p>
    <w:p w:rsidR="00AD50F3" w:rsidRDefault="00AD50F3" w:rsidP="00AD50F3">
      <w:pPr>
        <w:jc w:val="center"/>
        <w:rPr>
          <w:sz w:val="20"/>
          <w:szCs w:val="20"/>
        </w:rPr>
      </w:pPr>
      <w:r>
        <w:rPr>
          <w:sz w:val="20"/>
          <w:szCs w:val="20"/>
        </w:rPr>
        <w:br w:type="page"/>
      </w:r>
    </w:p>
    <w:p w:rsidR="00103851" w:rsidRPr="005F433B" w:rsidRDefault="0064295A" w:rsidP="00103851">
      <w:pPr>
        <w:jc w:val="center"/>
        <w:rPr>
          <w:b/>
          <w:sz w:val="20"/>
          <w:szCs w:val="20"/>
        </w:rPr>
      </w:pPr>
      <w:r>
        <w:rPr>
          <w:b/>
          <w:sz w:val="20"/>
          <w:szCs w:val="20"/>
        </w:rPr>
        <w:lastRenderedPageBreak/>
        <w:t xml:space="preserve">FIGURE </w:t>
      </w:r>
      <w:r w:rsidR="00395BE8">
        <w:rPr>
          <w:b/>
          <w:sz w:val="20"/>
          <w:szCs w:val="20"/>
        </w:rPr>
        <w:t>3</w:t>
      </w:r>
    </w:p>
    <w:p w:rsidR="00103851" w:rsidRDefault="00103851" w:rsidP="00103851">
      <w:pPr>
        <w:jc w:val="center"/>
        <w:rPr>
          <w:b/>
          <w:sz w:val="20"/>
          <w:szCs w:val="20"/>
        </w:rPr>
      </w:pPr>
      <w:r>
        <w:rPr>
          <w:b/>
          <w:sz w:val="20"/>
          <w:szCs w:val="20"/>
        </w:rPr>
        <w:t>Failure P</w:t>
      </w:r>
      <w:r w:rsidRPr="005F433B">
        <w:rPr>
          <w:b/>
          <w:sz w:val="20"/>
          <w:szCs w:val="20"/>
        </w:rPr>
        <w:t>redictive Ability of Leverage Using Different Measurement Systems</w:t>
      </w:r>
    </w:p>
    <w:p w:rsidR="00103851" w:rsidRDefault="00103851" w:rsidP="00103851">
      <w:pPr>
        <w:rPr>
          <w:sz w:val="20"/>
          <w:szCs w:val="20"/>
        </w:rPr>
      </w:pPr>
      <w:r>
        <w:rPr>
          <w:sz w:val="20"/>
          <w:szCs w:val="20"/>
        </w:rPr>
        <w:t>The following graphs provide the percent</w:t>
      </w:r>
      <w:r w:rsidR="003A02D3">
        <w:rPr>
          <w:sz w:val="20"/>
          <w:szCs w:val="20"/>
        </w:rPr>
        <w:t>age</w:t>
      </w:r>
      <w:r>
        <w:rPr>
          <w:sz w:val="20"/>
          <w:szCs w:val="20"/>
        </w:rPr>
        <w:t xml:space="preserve"> of failed banks “recognized” in successive deciles of leverage rankings, for each of one, two, and three years prior to failure. A measure that perfectly predicts bank failure would show 100% of failed banks in the highest decile of leverage measures (Decile </w:t>
      </w:r>
      <w:r w:rsidR="00A14F2B">
        <w:rPr>
          <w:sz w:val="20"/>
          <w:szCs w:val="20"/>
        </w:rPr>
        <w:t>One</w:t>
      </w:r>
      <w:r>
        <w:rPr>
          <w:sz w:val="20"/>
          <w:szCs w:val="20"/>
        </w:rPr>
        <w:t>).</w:t>
      </w:r>
    </w:p>
    <w:p w:rsidR="006F63DA" w:rsidRDefault="00CC66EE" w:rsidP="006F63DA">
      <w:pPr>
        <w:jc w:val="center"/>
        <w:rPr>
          <w:sz w:val="20"/>
          <w:szCs w:val="20"/>
        </w:rPr>
      </w:pPr>
      <w:r w:rsidRPr="00CC66EE">
        <w:rPr>
          <w:noProof/>
          <w:lang w:eastAsia="en-US"/>
        </w:rPr>
        <w:t xml:space="preserve"> </w:t>
      </w:r>
      <w:r w:rsidRPr="00CC66EE">
        <w:rPr>
          <w:noProof/>
          <w:lang w:eastAsia="en-US"/>
        </w:rPr>
        <w:drawing>
          <wp:inline distT="0" distB="0" distL="0" distR="0">
            <wp:extent cx="5276191" cy="3523810"/>
            <wp:effectExtent l="0" t="0" r="127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276191" cy="3523810"/>
                    </a:xfrm>
                    <a:prstGeom prst="rect">
                      <a:avLst/>
                    </a:prstGeom>
                  </pic:spPr>
                </pic:pic>
              </a:graphicData>
            </a:graphic>
          </wp:inline>
        </w:drawing>
      </w:r>
    </w:p>
    <w:p w:rsidR="00404D85" w:rsidRDefault="00CC66EE" w:rsidP="00103851">
      <w:pPr>
        <w:jc w:val="center"/>
        <w:rPr>
          <w:sz w:val="20"/>
          <w:szCs w:val="20"/>
        </w:rPr>
      </w:pPr>
      <w:r w:rsidRPr="00CC66EE">
        <w:rPr>
          <w:noProof/>
          <w:lang w:eastAsia="en-US"/>
        </w:rPr>
        <w:drawing>
          <wp:inline distT="0" distB="0" distL="0" distR="0">
            <wp:extent cx="5304762" cy="3600000"/>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304762" cy="3600000"/>
                    </a:xfrm>
                    <a:prstGeom prst="rect">
                      <a:avLst/>
                    </a:prstGeom>
                  </pic:spPr>
                </pic:pic>
              </a:graphicData>
            </a:graphic>
          </wp:inline>
        </w:drawing>
      </w:r>
    </w:p>
    <w:p w:rsidR="00CC66EE" w:rsidRDefault="00CC66EE" w:rsidP="00103851">
      <w:pPr>
        <w:jc w:val="center"/>
        <w:rPr>
          <w:sz w:val="20"/>
          <w:szCs w:val="20"/>
        </w:rPr>
      </w:pPr>
      <w:r w:rsidRPr="00CC66EE">
        <w:rPr>
          <w:noProof/>
          <w:lang w:eastAsia="en-US"/>
        </w:rPr>
        <w:lastRenderedPageBreak/>
        <w:drawing>
          <wp:inline distT="0" distB="0" distL="0" distR="0">
            <wp:extent cx="5304762" cy="36285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304762" cy="3628572"/>
                    </a:xfrm>
                    <a:prstGeom prst="rect">
                      <a:avLst/>
                    </a:prstGeom>
                  </pic:spPr>
                </pic:pic>
              </a:graphicData>
            </a:graphic>
          </wp:inline>
        </w:drawing>
      </w:r>
    </w:p>
    <w:p w:rsidR="00103851" w:rsidRDefault="00103851" w:rsidP="00103851">
      <w:pPr>
        <w:jc w:val="center"/>
        <w:rPr>
          <w:sz w:val="20"/>
          <w:szCs w:val="20"/>
        </w:rPr>
      </w:pPr>
    </w:p>
    <w:p w:rsidR="00103851" w:rsidRDefault="00103851" w:rsidP="00103851">
      <w:pPr>
        <w:jc w:val="center"/>
        <w:rPr>
          <w:sz w:val="20"/>
          <w:szCs w:val="20"/>
        </w:rPr>
      </w:pPr>
    </w:p>
    <w:p w:rsidR="00404D85" w:rsidRDefault="00404D85" w:rsidP="00404D85">
      <w:pPr>
        <w:jc w:val="center"/>
        <w:rPr>
          <w:sz w:val="20"/>
          <w:szCs w:val="20"/>
        </w:rPr>
      </w:pPr>
    </w:p>
    <w:p w:rsidR="00404D85" w:rsidRDefault="00404D85" w:rsidP="00404D85">
      <w:pPr>
        <w:jc w:val="center"/>
        <w:rPr>
          <w:sz w:val="20"/>
          <w:szCs w:val="20"/>
        </w:rPr>
      </w:pPr>
    </w:p>
    <w:p w:rsidR="00404D85" w:rsidRDefault="00404D85" w:rsidP="00404D85">
      <w:pPr>
        <w:jc w:val="center"/>
        <w:rPr>
          <w:sz w:val="20"/>
          <w:szCs w:val="20"/>
        </w:rPr>
      </w:pPr>
    </w:p>
    <w:p w:rsidR="00404D85" w:rsidRDefault="00404D85" w:rsidP="00404D85">
      <w:pPr>
        <w:jc w:val="center"/>
        <w:rPr>
          <w:sz w:val="20"/>
          <w:szCs w:val="20"/>
        </w:rPr>
      </w:pPr>
    </w:p>
    <w:p w:rsidR="00404D85" w:rsidRDefault="00404D85" w:rsidP="00404D85">
      <w:pPr>
        <w:jc w:val="center"/>
        <w:rPr>
          <w:sz w:val="20"/>
          <w:szCs w:val="20"/>
        </w:rPr>
      </w:pPr>
    </w:p>
    <w:p w:rsidR="00EA3AF2" w:rsidRDefault="00EA3AF2" w:rsidP="00EA3AF2">
      <w:pPr>
        <w:rPr>
          <w:sz w:val="20"/>
          <w:szCs w:val="20"/>
        </w:rPr>
      </w:pPr>
    </w:p>
    <w:p w:rsidR="00EA3AF2" w:rsidRPr="00EA3AF2" w:rsidRDefault="00EA3AF2" w:rsidP="00EA3AF2">
      <w:pPr>
        <w:jc w:val="center"/>
        <w:rPr>
          <w:sz w:val="20"/>
          <w:szCs w:val="20"/>
        </w:rPr>
      </w:pPr>
    </w:p>
    <w:p w:rsidR="00164E71" w:rsidRDefault="00164E71" w:rsidP="005F433B">
      <w:pPr>
        <w:jc w:val="center"/>
        <w:rPr>
          <w:sz w:val="20"/>
          <w:szCs w:val="20"/>
        </w:rPr>
      </w:pPr>
    </w:p>
    <w:p w:rsidR="00164E71" w:rsidRDefault="00164E71">
      <w:pPr>
        <w:rPr>
          <w:sz w:val="20"/>
          <w:szCs w:val="20"/>
        </w:rPr>
      </w:pPr>
      <w:r>
        <w:rPr>
          <w:sz w:val="20"/>
          <w:szCs w:val="20"/>
        </w:rPr>
        <w:br w:type="page"/>
      </w:r>
    </w:p>
    <w:p w:rsidR="00103851" w:rsidRPr="00164E71" w:rsidRDefault="0064295A" w:rsidP="00103851">
      <w:pPr>
        <w:jc w:val="center"/>
        <w:rPr>
          <w:b/>
          <w:sz w:val="20"/>
          <w:szCs w:val="20"/>
        </w:rPr>
      </w:pPr>
      <w:r>
        <w:rPr>
          <w:b/>
          <w:sz w:val="20"/>
          <w:szCs w:val="20"/>
        </w:rPr>
        <w:lastRenderedPageBreak/>
        <w:t>TABLE</w:t>
      </w:r>
      <w:r w:rsidRPr="00164E71">
        <w:rPr>
          <w:b/>
          <w:sz w:val="20"/>
          <w:szCs w:val="20"/>
        </w:rPr>
        <w:t xml:space="preserve"> </w:t>
      </w:r>
      <w:r w:rsidR="00103851" w:rsidRPr="00164E71">
        <w:rPr>
          <w:b/>
          <w:sz w:val="20"/>
          <w:szCs w:val="20"/>
        </w:rPr>
        <w:t>1</w:t>
      </w:r>
    </w:p>
    <w:p w:rsidR="00103851" w:rsidRPr="00164E71" w:rsidRDefault="00103851" w:rsidP="00103851">
      <w:pPr>
        <w:jc w:val="center"/>
        <w:rPr>
          <w:b/>
          <w:sz w:val="20"/>
          <w:szCs w:val="20"/>
        </w:rPr>
      </w:pPr>
      <w:r w:rsidRPr="00164E71">
        <w:rPr>
          <w:b/>
          <w:sz w:val="20"/>
          <w:szCs w:val="20"/>
        </w:rPr>
        <w:t>Descriptive Statistics for Bond Yield Test Sample</w:t>
      </w:r>
    </w:p>
    <w:p w:rsidR="00103851" w:rsidRPr="00D316A8" w:rsidRDefault="00103851" w:rsidP="00103851">
      <w:pPr>
        <w:jc w:val="center"/>
        <w:rPr>
          <w:sz w:val="20"/>
          <w:szCs w:val="20"/>
        </w:rPr>
      </w:pPr>
      <w:r w:rsidRPr="00D316A8">
        <w:rPr>
          <w:sz w:val="20"/>
          <w:szCs w:val="20"/>
        </w:rPr>
        <w:t>46 Bank Holding Companies, 1</w:t>
      </w:r>
      <w:r>
        <w:rPr>
          <w:sz w:val="20"/>
          <w:szCs w:val="20"/>
        </w:rPr>
        <w:t>95</w:t>
      </w:r>
      <w:r w:rsidRPr="00D316A8">
        <w:rPr>
          <w:sz w:val="20"/>
          <w:szCs w:val="20"/>
        </w:rPr>
        <w:t xml:space="preserve"> Bank-Years, 1</w:t>
      </w:r>
      <w:r>
        <w:rPr>
          <w:sz w:val="20"/>
          <w:szCs w:val="20"/>
        </w:rPr>
        <w:t>,</w:t>
      </w:r>
      <w:r w:rsidRPr="00D316A8">
        <w:rPr>
          <w:sz w:val="20"/>
          <w:szCs w:val="20"/>
        </w:rPr>
        <w:t>86</w:t>
      </w:r>
      <w:r>
        <w:rPr>
          <w:sz w:val="20"/>
          <w:szCs w:val="20"/>
        </w:rPr>
        <w:t>1</w:t>
      </w:r>
      <w:r w:rsidRPr="00D316A8">
        <w:rPr>
          <w:sz w:val="20"/>
          <w:szCs w:val="20"/>
        </w:rPr>
        <w:t xml:space="preserve"> Bonds, </w:t>
      </w:r>
      <w:r>
        <w:rPr>
          <w:sz w:val="20"/>
          <w:szCs w:val="20"/>
        </w:rPr>
        <w:t>80,393</w:t>
      </w:r>
      <w:r w:rsidRPr="00D316A8">
        <w:rPr>
          <w:sz w:val="20"/>
          <w:szCs w:val="20"/>
        </w:rPr>
        <w:t xml:space="preserve"> Bank-Bond-Trading Days from 1998-2010</w:t>
      </w:r>
    </w:p>
    <w:p w:rsidR="00D316A8" w:rsidRDefault="002B6E5B" w:rsidP="00164E71">
      <w:pPr>
        <w:rPr>
          <w:sz w:val="20"/>
          <w:szCs w:val="20"/>
        </w:rPr>
      </w:pPr>
      <w:r w:rsidRPr="002B6E5B">
        <w:rPr>
          <w:noProof/>
          <w:lang w:eastAsia="en-US"/>
        </w:rPr>
        <w:drawing>
          <wp:inline distT="0" distB="0" distL="0" distR="0">
            <wp:extent cx="5867400" cy="421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67400" cy="4219575"/>
                    </a:xfrm>
                    <a:prstGeom prst="rect">
                      <a:avLst/>
                    </a:prstGeom>
                    <a:noFill/>
                    <a:ln>
                      <a:noFill/>
                    </a:ln>
                  </pic:spPr>
                </pic:pic>
              </a:graphicData>
            </a:graphic>
          </wp:inline>
        </w:drawing>
      </w:r>
    </w:p>
    <w:p w:rsidR="00103851" w:rsidRDefault="00103851" w:rsidP="00103851">
      <w:pPr>
        <w:jc w:val="both"/>
        <w:rPr>
          <w:sz w:val="19"/>
          <w:szCs w:val="19"/>
        </w:rPr>
      </w:pPr>
      <w:r w:rsidRPr="00D22CDA">
        <w:rPr>
          <w:sz w:val="19"/>
          <w:szCs w:val="19"/>
        </w:rPr>
        <w:t xml:space="preserve">This table provides descriptive statistics for our yield spread dataset of </w:t>
      </w:r>
      <w:r>
        <w:rPr>
          <w:sz w:val="19"/>
          <w:szCs w:val="19"/>
        </w:rPr>
        <w:t>80,393</w:t>
      </w:r>
      <w:r w:rsidRPr="00D22CDA">
        <w:rPr>
          <w:sz w:val="19"/>
          <w:szCs w:val="19"/>
        </w:rPr>
        <w:t xml:space="preserve"> bank-transaction dates, made up of 46 bank holding companies and 1,86</w:t>
      </w:r>
      <w:r>
        <w:rPr>
          <w:sz w:val="19"/>
          <w:szCs w:val="19"/>
        </w:rPr>
        <w:t>1</w:t>
      </w:r>
      <w:r w:rsidRPr="00D22CDA">
        <w:rPr>
          <w:sz w:val="19"/>
          <w:szCs w:val="19"/>
        </w:rPr>
        <w:t xml:space="preserve"> related bonds issued from 1998 through 2010 and traded 2002</w:t>
      </w:r>
      <w:r w:rsidR="003A02D3">
        <w:rPr>
          <w:sz w:val="19"/>
          <w:szCs w:val="19"/>
        </w:rPr>
        <w:t>–</w:t>
      </w:r>
      <w:r w:rsidRPr="00D22CDA">
        <w:rPr>
          <w:sz w:val="19"/>
          <w:szCs w:val="19"/>
        </w:rPr>
        <w:t>2010</w:t>
      </w:r>
      <w:r w:rsidR="00646505">
        <w:rPr>
          <w:sz w:val="19"/>
          <w:szCs w:val="19"/>
        </w:rPr>
        <w:t xml:space="preserve">. </w:t>
      </w:r>
      <w:r w:rsidRPr="00D22CDA">
        <w:rPr>
          <w:sz w:val="19"/>
          <w:szCs w:val="19"/>
        </w:rPr>
        <w:t xml:space="preserve">The leverage variables are all calculated using the basic formula: Assets / (Assets </w:t>
      </w:r>
      <w:r w:rsidR="003A02D3">
        <w:rPr>
          <w:sz w:val="19"/>
          <w:szCs w:val="19"/>
        </w:rPr>
        <w:t>−</w:t>
      </w:r>
      <w:r w:rsidRPr="00D22CDA">
        <w:rPr>
          <w:sz w:val="19"/>
          <w:szCs w:val="19"/>
        </w:rPr>
        <w:t xml:space="preserve"> Liabilities), where the measurement of assets and liabilities depends on the leverage variable. In addition, all leverage measures except Tier1 leverage adjust assets in the numerator and denominator by subtracting intangible assets (excluding mortgage servicing rights) and subtracting preferred stock from the denominator, to be consistent with the tangible common equity concept. </w:t>
      </w:r>
      <w:r w:rsidRPr="00D22CDA">
        <w:rPr>
          <w:b/>
          <w:sz w:val="19"/>
          <w:szCs w:val="19"/>
        </w:rPr>
        <w:t>FV</w:t>
      </w:r>
      <w:r w:rsidRPr="00D22CDA">
        <w:rPr>
          <w:sz w:val="19"/>
          <w:szCs w:val="19"/>
        </w:rPr>
        <w:t xml:space="preserve"> uses the fair value of financial instrument assets and liabilities, estimated using the reported GAAP values adjusted by the fair values of financial instruments given in footnote disclosures (net of the related tax effect). Also, </w:t>
      </w:r>
      <w:r w:rsidR="005A03CC">
        <w:rPr>
          <w:sz w:val="19"/>
          <w:szCs w:val="19"/>
        </w:rPr>
        <w:t xml:space="preserve">since non-term deposits are not included in the fair value disclosures, we estimate the </w:t>
      </w:r>
      <w:r w:rsidRPr="00D22CDA">
        <w:rPr>
          <w:sz w:val="19"/>
          <w:szCs w:val="19"/>
        </w:rPr>
        <w:t xml:space="preserve">fair value of the </w:t>
      </w:r>
      <w:r w:rsidR="005A03CC">
        <w:rPr>
          <w:sz w:val="19"/>
          <w:szCs w:val="19"/>
        </w:rPr>
        <w:t xml:space="preserve">non-term deposits </w:t>
      </w:r>
      <w:r w:rsidRPr="00D22CDA">
        <w:rPr>
          <w:sz w:val="19"/>
          <w:szCs w:val="19"/>
        </w:rPr>
        <w:t xml:space="preserve">using the static discount cash flow approach described by the Office of Thrift Supervision. </w:t>
      </w:r>
      <w:r w:rsidRPr="00D22CDA">
        <w:rPr>
          <w:b/>
          <w:sz w:val="19"/>
          <w:szCs w:val="19"/>
        </w:rPr>
        <w:t>GAAP</w:t>
      </w:r>
      <w:r w:rsidRPr="00D22CDA">
        <w:rPr>
          <w:sz w:val="19"/>
          <w:szCs w:val="19"/>
        </w:rPr>
        <w:t xml:space="preserve"> uses assets and liabilities as recognized on the annual 10-K report. </w:t>
      </w:r>
      <w:r w:rsidRPr="00D22CDA">
        <w:rPr>
          <w:b/>
          <w:sz w:val="19"/>
          <w:szCs w:val="19"/>
        </w:rPr>
        <w:t>TIER1</w:t>
      </w:r>
      <w:r w:rsidRPr="00D22CDA">
        <w:rPr>
          <w:sz w:val="19"/>
          <w:szCs w:val="19"/>
        </w:rPr>
        <w:t xml:space="preserve"> uses Average Total Assets for assets and Tier1 capital for assets </w:t>
      </w:r>
      <w:r w:rsidR="003A02D3">
        <w:rPr>
          <w:sz w:val="19"/>
          <w:szCs w:val="19"/>
        </w:rPr>
        <w:t>−</w:t>
      </w:r>
      <w:r w:rsidR="002B6E5B">
        <w:rPr>
          <w:sz w:val="19"/>
          <w:szCs w:val="19"/>
        </w:rPr>
        <w:t xml:space="preserve"> </w:t>
      </w:r>
      <w:r w:rsidRPr="00D22CDA">
        <w:rPr>
          <w:sz w:val="19"/>
          <w:szCs w:val="19"/>
        </w:rPr>
        <w:t xml:space="preserve">liabilities (or equity), as defined by and provided in the BHC’s FRY9-C regulatory report. </w:t>
      </w:r>
      <w:r w:rsidRPr="00D22CDA">
        <w:rPr>
          <w:b/>
          <w:sz w:val="19"/>
          <w:szCs w:val="19"/>
        </w:rPr>
        <w:t>Held</w:t>
      </w:r>
      <w:r w:rsidR="002B6E5B">
        <w:rPr>
          <w:b/>
          <w:sz w:val="19"/>
          <w:szCs w:val="19"/>
        </w:rPr>
        <w:t>-</w:t>
      </w:r>
      <w:r w:rsidRPr="00D22CDA">
        <w:rPr>
          <w:b/>
          <w:sz w:val="19"/>
          <w:szCs w:val="19"/>
        </w:rPr>
        <w:t>to</w:t>
      </w:r>
      <w:r w:rsidR="002B6E5B">
        <w:rPr>
          <w:b/>
          <w:sz w:val="19"/>
          <w:szCs w:val="19"/>
        </w:rPr>
        <w:t>-</w:t>
      </w:r>
      <w:r w:rsidRPr="00D22CDA">
        <w:rPr>
          <w:b/>
          <w:sz w:val="19"/>
          <w:szCs w:val="19"/>
        </w:rPr>
        <w:t>Maturity Securities</w:t>
      </w:r>
      <w:r w:rsidRPr="00D22CDA">
        <w:rPr>
          <w:sz w:val="19"/>
          <w:szCs w:val="19"/>
        </w:rPr>
        <w:t xml:space="preserve"> is the reported (amortized) amount of held</w:t>
      </w:r>
      <w:r w:rsidR="002B6E5B">
        <w:rPr>
          <w:sz w:val="19"/>
          <w:szCs w:val="19"/>
        </w:rPr>
        <w:t>-</w:t>
      </w:r>
      <w:r w:rsidRPr="00D22CDA">
        <w:rPr>
          <w:sz w:val="19"/>
          <w:szCs w:val="19"/>
        </w:rPr>
        <w:t>to</w:t>
      </w:r>
      <w:r w:rsidR="002B6E5B">
        <w:rPr>
          <w:sz w:val="19"/>
          <w:szCs w:val="19"/>
        </w:rPr>
        <w:t>-</w:t>
      </w:r>
      <w:r w:rsidRPr="00D22CDA">
        <w:rPr>
          <w:sz w:val="19"/>
          <w:szCs w:val="19"/>
        </w:rPr>
        <w:t xml:space="preserve">maturity securities. </w:t>
      </w:r>
      <w:proofErr w:type="spellStart"/>
      <w:r w:rsidRPr="00D22CDA">
        <w:rPr>
          <w:b/>
          <w:sz w:val="19"/>
          <w:szCs w:val="19"/>
        </w:rPr>
        <w:t>NonAccrLoans</w:t>
      </w:r>
      <w:proofErr w:type="spellEnd"/>
      <w:r w:rsidRPr="00D22CDA">
        <w:rPr>
          <w:b/>
          <w:sz w:val="19"/>
          <w:szCs w:val="19"/>
        </w:rPr>
        <w:t xml:space="preserve"> (</w:t>
      </w:r>
      <w:proofErr w:type="spellStart"/>
      <w:r w:rsidRPr="00D22CDA">
        <w:rPr>
          <w:b/>
          <w:sz w:val="19"/>
          <w:szCs w:val="19"/>
        </w:rPr>
        <w:t>PastDueLoans</w:t>
      </w:r>
      <w:proofErr w:type="spellEnd"/>
      <w:r w:rsidRPr="00D22CDA">
        <w:rPr>
          <w:b/>
          <w:sz w:val="19"/>
          <w:szCs w:val="19"/>
        </w:rPr>
        <w:t>)</w:t>
      </w:r>
      <w:r w:rsidRPr="00D22CDA">
        <w:rPr>
          <w:sz w:val="19"/>
          <w:szCs w:val="19"/>
        </w:rPr>
        <w:t xml:space="preserve"> is the amount reported for loans that are under non-accrual status (90 days or greater past due but are still accruing interest). </w:t>
      </w:r>
      <w:r w:rsidRPr="00D22CDA">
        <w:rPr>
          <w:b/>
          <w:sz w:val="19"/>
          <w:szCs w:val="19"/>
        </w:rPr>
        <w:t>OREO</w:t>
      </w:r>
      <w:r w:rsidRPr="00D22CDA">
        <w:rPr>
          <w:sz w:val="19"/>
          <w:szCs w:val="19"/>
        </w:rPr>
        <w:t xml:space="preserve"> is the amount of other real estate owned. </w:t>
      </w:r>
      <w:r w:rsidRPr="00D22CDA">
        <w:rPr>
          <w:b/>
          <w:sz w:val="19"/>
          <w:szCs w:val="19"/>
        </w:rPr>
        <w:t>Abs Maturity Gap</w:t>
      </w:r>
      <w:r w:rsidRPr="00D22CDA">
        <w:rPr>
          <w:sz w:val="19"/>
          <w:szCs w:val="19"/>
        </w:rPr>
        <w:t xml:space="preserve"> is the difference between assets and liabilities that are due to mature or be </w:t>
      </w:r>
      <w:proofErr w:type="spellStart"/>
      <w:r w:rsidRPr="00D22CDA">
        <w:rPr>
          <w:sz w:val="19"/>
          <w:szCs w:val="19"/>
        </w:rPr>
        <w:t>repriced</w:t>
      </w:r>
      <w:proofErr w:type="spellEnd"/>
      <w:r w:rsidRPr="00D22CDA">
        <w:rPr>
          <w:sz w:val="19"/>
          <w:szCs w:val="19"/>
        </w:rPr>
        <w:t xml:space="preserve"> within one year. The </w:t>
      </w:r>
      <w:r w:rsidRPr="00D22CDA">
        <w:rPr>
          <w:b/>
          <w:sz w:val="19"/>
          <w:szCs w:val="19"/>
        </w:rPr>
        <w:t>offering amount</w:t>
      </w:r>
      <w:r w:rsidRPr="00D22CDA">
        <w:rPr>
          <w:sz w:val="19"/>
          <w:szCs w:val="19"/>
        </w:rPr>
        <w:t xml:space="preserve"> is the amount of the original bond issue. The </w:t>
      </w:r>
      <w:r w:rsidRPr="00D22CDA">
        <w:rPr>
          <w:b/>
          <w:sz w:val="19"/>
          <w:szCs w:val="19"/>
        </w:rPr>
        <w:t>yield spread</w:t>
      </w:r>
      <w:r w:rsidRPr="00D22CDA">
        <w:rPr>
          <w:sz w:val="19"/>
          <w:szCs w:val="19"/>
        </w:rPr>
        <w:t xml:space="preserve"> is the issue yield at the time of issuance or trade (per FISD or TRACE, respectively, using the last yield observation per day) less the treasury rate for a similar maturity. The treasury rate for 1, 2, 3, 5, 7, 10, 20, and 30 years bonds is obtained from the Federal Reserve H.15 Statistical Release, and we use linear interpolation to estimate the omitted maturities. </w:t>
      </w:r>
      <w:proofErr w:type="spellStart"/>
      <w:r w:rsidRPr="00D22CDA">
        <w:rPr>
          <w:b/>
          <w:sz w:val="19"/>
          <w:szCs w:val="19"/>
        </w:rPr>
        <w:t>YrsToMaturity</w:t>
      </w:r>
      <w:proofErr w:type="spellEnd"/>
      <w:r w:rsidRPr="00D22CDA">
        <w:rPr>
          <w:sz w:val="19"/>
          <w:szCs w:val="19"/>
        </w:rPr>
        <w:t xml:space="preserve"> is the number of years between the transaction date and the bond maturity date. All variables are </w:t>
      </w:r>
      <w:proofErr w:type="spellStart"/>
      <w:r w:rsidRPr="00D22CDA">
        <w:rPr>
          <w:sz w:val="19"/>
          <w:szCs w:val="19"/>
        </w:rPr>
        <w:t>winsorized</w:t>
      </w:r>
      <w:proofErr w:type="spellEnd"/>
      <w:r w:rsidRPr="00D22CDA">
        <w:rPr>
          <w:sz w:val="19"/>
          <w:szCs w:val="19"/>
        </w:rPr>
        <w:t xml:space="preserve"> at 1% and 99%</w:t>
      </w:r>
      <w:r w:rsidR="00646505">
        <w:rPr>
          <w:sz w:val="19"/>
          <w:szCs w:val="19"/>
        </w:rPr>
        <w:t xml:space="preserve">. </w:t>
      </w:r>
    </w:p>
    <w:p w:rsidR="00103851" w:rsidRDefault="00103851">
      <w:pPr>
        <w:rPr>
          <w:b/>
          <w:sz w:val="20"/>
          <w:szCs w:val="20"/>
        </w:rPr>
      </w:pPr>
      <w:r>
        <w:rPr>
          <w:b/>
          <w:sz w:val="20"/>
          <w:szCs w:val="20"/>
        </w:rPr>
        <w:br w:type="page"/>
      </w:r>
    </w:p>
    <w:p w:rsidR="00D316A8" w:rsidRPr="00D316A8" w:rsidRDefault="0064295A" w:rsidP="00D316A8">
      <w:pPr>
        <w:jc w:val="center"/>
        <w:rPr>
          <w:b/>
          <w:sz w:val="20"/>
          <w:szCs w:val="20"/>
        </w:rPr>
      </w:pPr>
      <w:r>
        <w:rPr>
          <w:b/>
          <w:sz w:val="20"/>
          <w:szCs w:val="20"/>
        </w:rPr>
        <w:lastRenderedPageBreak/>
        <w:t>TABLE</w:t>
      </w:r>
      <w:r w:rsidRPr="00D316A8">
        <w:rPr>
          <w:b/>
          <w:sz w:val="20"/>
          <w:szCs w:val="20"/>
        </w:rPr>
        <w:t xml:space="preserve"> </w:t>
      </w:r>
      <w:r w:rsidR="00D316A8" w:rsidRPr="00D316A8">
        <w:rPr>
          <w:b/>
          <w:sz w:val="20"/>
          <w:szCs w:val="20"/>
        </w:rPr>
        <w:t>2</w:t>
      </w:r>
    </w:p>
    <w:p w:rsidR="00D316A8" w:rsidRDefault="00D316A8" w:rsidP="00D316A8">
      <w:pPr>
        <w:jc w:val="center"/>
        <w:rPr>
          <w:b/>
          <w:sz w:val="20"/>
          <w:szCs w:val="20"/>
        </w:rPr>
      </w:pPr>
      <w:r w:rsidRPr="00D316A8">
        <w:rPr>
          <w:b/>
          <w:sz w:val="20"/>
          <w:szCs w:val="20"/>
        </w:rPr>
        <w:t>Results from Regressing Y</w:t>
      </w:r>
      <w:r>
        <w:rPr>
          <w:b/>
          <w:sz w:val="20"/>
          <w:szCs w:val="20"/>
        </w:rPr>
        <w:t>ield Spread on Leverage and Bank Risk Measures</w:t>
      </w:r>
    </w:p>
    <w:p w:rsidR="00D316A8" w:rsidRDefault="00A44D0B" w:rsidP="00D316A8">
      <w:pPr>
        <w:rPr>
          <w:sz w:val="20"/>
          <w:szCs w:val="20"/>
        </w:rPr>
      </w:pPr>
      <w:r w:rsidRPr="00A44D0B">
        <w:rPr>
          <w:noProof/>
          <w:lang w:eastAsia="en-US"/>
        </w:rPr>
        <w:drawing>
          <wp:inline distT="0" distB="0" distL="0" distR="0">
            <wp:extent cx="5905500" cy="2466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0" cy="2466975"/>
                    </a:xfrm>
                    <a:prstGeom prst="rect">
                      <a:avLst/>
                    </a:prstGeom>
                    <a:noFill/>
                    <a:ln>
                      <a:noFill/>
                    </a:ln>
                  </pic:spPr>
                </pic:pic>
              </a:graphicData>
            </a:graphic>
          </wp:inline>
        </w:drawing>
      </w:r>
    </w:p>
    <w:p w:rsidR="00103851" w:rsidRPr="00D316A8" w:rsidRDefault="00103851" w:rsidP="00103851">
      <w:pPr>
        <w:jc w:val="both"/>
        <w:rPr>
          <w:sz w:val="20"/>
          <w:szCs w:val="20"/>
        </w:rPr>
      </w:pPr>
      <w:r>
        <w:rPr>
          <w:sz w:val="20"/>
          <w:szCs w:val="20"/>
        </w:rPr>
        <w:t xml:space="preserve">This table provides the results of regressing the yield spread as of the </w:t>
      </w:r>
      <w:r w:rsidRPr="00D316A8">
        <w:rPr>
          <w:sz w:val="20"/>
          <w:szCs w:val="20"/>
        </w:rPr>
        <w:t>bond transaction date (either issuance date or trading date) on issue characteristics, bank risk measures, and each of the alternate leverage measures</w:t>
      </w:r>
      <w:r>
        <w:rPr>
          <w:sz w:val="20"/>
          <w:szCs w:val="20"/>
        </w:rPr>
        <w:t>, with Panels A and B providing results for regressions without issue and bank control variables</w:t>
      </w:r>
      <w:r w:rsidR="003A02D3">
        <w:rPr>
          <w:sz w:val="20"/>
          <w:szCs w:val="20"/>
        </w:rPr>
        <w:t>,</w:t>
      </w:r>
      <w:r>
        <w:rPr>
          <w:sz w:val="20"/>
          <w:szCs w:val="20"/>
        </w:rPr>
        <w:t xml:space="preserve"> and Panels C and D (below) providing results including issue and bank control variables</w:t>
      </w:r>
      <w:r w:rsidRPr="00D316A8">
        <w:rPr>
          <w:sz w:val="20"/>
          <w:szCs w:val="20"/>
        </w:rPr>
        <w:t>. The sample consists of 46 bank holding companies and 1,86</w:t>
      </w:r>
      <w:r>
        <w:rPr>
          <w:sz w:val="20"/>
          <w:szCs w:val="20"/>
        </w:rPr>
        <w:t>1</w:t>
      </w:r>
      <w:r w:rsidRPr="00D316A8">
        <w:rPr>
          <w:sz w:val="20"/>
          <w:szCs w:val="20"/>
        </w:rPr>
        <w:t xml:space="preserve"> bonds, for a total of </w:t>
      </w:r>
      <w:r>
        <w:rPr>
          <w:sz w:val="20"/>
          <w:szCs w:val="20"/>
        </w:rPr>
        <w:t>80,393</w:t>
      </w:r>
      <w:r w:rsidRPr="00D316A8">
        <w:rPr>
          <w:sz w:val="20"/>
          <w:szCs w:val="20"/>
        </w:rPr>
        <w:t xml:space="preserve"> bank-transaction date observations from 1998 through 2010 (with all trading transactions occurring between 2002 and 2010 due to data availability in TRACE). The </w:t>
      </w:r>
      <w:r w:rsidRPr="00D316A8">
        <w:rPr>
          <w:b/>
          <w:sz w:val="20"/>
          <w:szCs w:val="20"/>
        </w:rPr>
        <w:t>yield spread</w:t>
      </w:r>
      <w:r w:rsidRPr="00D316A8">
        <w:rPr>
          <w:sz w:val="20"/>
          <w:szCs w:val="20"/>
        </w:rPr>
        <w:t xml:space="preserve"> is the issue yield at the time of issuance or trade (per FISD or TRACE, respectively, using the last yield observation per day if there were multiple trades per day in TRACE) less the treasury rate for a similar maturity. The treasury rate for 1, 2, 3, 5, 7, 10, 20, and 30 years bonds is obtained from the Federal Reserve H.15 Statistical Release, and we use linear interpolation to estimate the omitted maturities. </w:t>
      </w:r>
      <w:proofErr w:type="spellStart"/>
      <w:r w:rsidRPr="00D316A8">
        <w:rPr>
          <w:b/>
          <w:sz w:val="20"/>
          <w:szCs w:val="20"/>
        </w:rPr>
        <w:t>NonAccrLoans</w:t>
      </w:r>
      <w:proofErr w:type="spellEnd"/>
      <w:r w:rsidRPr="00D316A8">
        <w:rPr>
          <w:sz w:val="20"/>
          <w:szCs w:val="20"/>
        </w:rPr>
        <w:t xml:space="preserve"> is the ratio of loans in non-accrual status to total assets. </w:t>
      </w:r>
      <w:proofErr w:type="spellStart"/>
      <w:r w:rsidRPr="00D316A8">
        <w:rPr>
          <w:b/>
          <w:sz w:val="20"/>
          <w:szCs w:val="20"/>
        </w:rPr>
        <w:t>PastDueLoans</w:t>
      </w:r>
      <w:proofErr w:type="spellEnd"/>
      <w:r w:rsidRPr="00D316A8">
        <w:rPr>
          <w:sz w:val="20"/>
          <w:szCs w:val="20"/>
        </w:rPr>
        <w:t xml:space="preserve"> is the ratio of loans that are past due 90 days or greater to total assets. OREO is the ratio of other real estate owned to total assets. </w:t>
      </w:r>
      <w:proofErr w:type="spellStart"/>
      <w:r w:rsidRPr="00D316A8">
        <w:rPr>
          <w:b/>
          <w:sz w:val="20"/>
          <w:szCs w:val="20"/>
        </w:rPr>
        <w:t>AbsMaturityGap</w:t>
      </w:r>
      <w:proofErr w:type="spellEnd"/>
      <w:r w:rsidRPr="00D316A8">
        <w:rPr>
          <w:b/>
          <w:sz w:val="20"/>
          <w:szCs w:val="20"/>
        </w:rPr>
        <w:t xml:space="preserve"> </w:t>
      </w:r>
      <w:r w:rsidRPr="00D316A8">
        <w:rPr>
          <w:sz w:val="20"/>
          <w:szCs w:val="20"/>
        </w:rPr>
        <w:t xml:space="preserve">is the absolute difference between assets and liabilities that are due to mature or be </w:t>
      </w:r>
      <w:proofErr w:type="spellStart"/>
      <w:r w:rsidRPr="00D316A8">
        <w:rPr>
          <w:sz w:val="20"/>
          <w:szCs w:val="20"/>
        </w:rPr>
        <w:t>repriced</w:t>
      </w:r>
      <w:proofErr w:type="spellEnd"/>
      <w:r w:rsidRPr="00D316A8">
        <w:rPr>
          <w:sz w:val="20"/>
          <w:szCs w:val="20"/>
        </w:rPr>
        <w:t xml:space="preserve"> within one year, divided by total assets. Note that all the previous ratios are multiplied by 100 to give the ratio in percentage points. </w:t>
      </w:r>
      <w:r w:rsidRPr="00D316A8">
        <w:rPr>
          <w:b/>
          <w:sz w:val="20"/>
          <w:szCs w:val="20"/>
        </w:rPr>
        <w:t>ROA</w:t>
      </w:r>
      <w:r w:rsidRPr="00D316A8">
        <w:rPr>
          <w:sz w:val="20"/>
          <w:szCs w:val="20"/>
        </w:rPr>
        <w:t xml:space="preserve"> is net income divided by total assets. </w:t>
      </w:r>
      <w:proofErr w:type="spellStart"/>
      <w:r w:rsidRPr="00D316A8">
        <w:rPr>
          <w:b/>
          <w:sz w:val="20"/>
          <w:szCs w:val="20"/>
        </w:rPr>
        <w:t>Ln_offer_amt</w:t>
      </w:r>
      <w:proofErr w:type="spellEnd"/>
      <w:r w:rsidRPr="00D316A8">
        <w:rPr>
          <w:sz w:val="20"/>
          <w:szCs w:val="20"/>
        </w:rPr>
        <w:t xml:space="preserve"> is the natural log of the offering amount (in thousands) of the issue. </w:t>
      </w:r>
      <w:r w:rsidRPr="00C9135B">
        <w:rPr>
          <w:b/>
          <w:sz w:val="20"/>
          <w:szCs w:val="20"/>
        </w:rPr>
        <w:t>Shelf</w:t>
      </w:r>
      <w:r w:rsidRPr="00D316A8">
        <w:rPr>
          <w:sz w:val="20"/>
          <w:szCs w:val="20"/>
        </w:rPr>
        <w:t xml:space="preserve"> is an indicator that the issue is a shelf registration. </w:t>
      </w:r>
      <w:r w:rsidRPr="00C9135B">
        <w:rPr>
          <w:b/>
          <w:sz w:val="20"/>
          <w:szCs w:val="20"/>
        </w:rPr>
        <w:t xml:space="preserve">Call </w:t>
      </w:r>
      <w:r w:rsidRPr="00D316A8">
        <w:rPr>
          <w:sz w:val="20"/>
          <w:szCs w:val="20"/>
        </w:rPr>
        <w:t xml:space="preserve">is an indicator that the issue is callable on a predetermined schedule. </w:t>
      </w:r>
      <w:r w:rsidRPr="00C9135B">
        <w:rPr>
          <w:b/>
          <w:sz w:val="20"/>
          <w:szCs w:val="20"/>
        </w:rPr>
        <w:t>Put</w:t>
      </w:r>
      <w:r w:rsidRPr="00D316A8">
        <w:rPr>
          <w:sz w:val="20"/>
          <w:szCs w:val="20"/>
        </w:rPr>
        <w:t xml:space="preserve"> is an indicator that the issue gives the bondholder the option, but not the obligation, to sell the security back to the issuer under certain circumstances. </w:t>
      </w:r>
      <w:r w:rsidRPr="00C9135B">
        <w:rPr>
          <w:b/>
          <w:sz w:val="20"/>
          <w:szCs w:val="20"/>
        </w:rPr>
        <w:t>Redeem</w:t>
      </w:r>
      <w:r w:rsidRPr="00D316A8">
        <w:rPr>
          <w:sz w:val="20"/>
          <w:szCs w:val="20"/>
        </w:rPr>
        <w:t xml:space="preserve"> is an indicator that the bond is redeemable under certain circumstances. </w:t>
      </w:r>
      <w:proofErr w:type="spellStart"/>
      <w:r w:rsidRPr="00C9135B">
        <w:rPr>
          <w:b/>
          <w:sz w:val="20"/>
          <w:szCs w:val="20"/>
        </w:rPr>
        <w:t>YrsToMaturity</w:t>
      </w:r>
      <w:proofErr w:type="spellEnd"/>
      <w:r w:rsidRPr="00D316A8">
        <w:rPr>
          <w:sz w:val="20"/>
          <w:szCs w:val="20"/>
        </w:rPr>
        <w:t xml:space="preserve"> is the number of years remaining to maturity as of the transaction date (either issuance or trading date). </w:t>
      </w:r>
      <w:proofErr w:type="spellStart"/>
      <w:r w:rsidRPr="00C9135B">
        <w:rPr>
          <w:b/>
          <w:sz w:val="20"/>
          <w:szCs w:val="20"/>
        </w:rPr>
        <w:t>LnAssets</w:t>
      </w:r>
      <w:proofErr w:type="spellEnd"/>
      <w:r w:rsidRPr="00D316A8">
        <w:rPr>
          <w:sz w:val="20"/>
          <w:szCs w:val="20"/>
        </w:rPr>
        <w:t xml:space="preserve"> is log of the total assets of the bank as of the most recent fiscal </w:t>
      </w:r>
      <w:r w:rsidR="008B078D">
        <w:rPr>
          <w:sz w:val="20"/>
          <w:szCs w:val="20"/>
        </w:rPr>
        <w:t>year-end</w:t>
      </w:r>
      <w:r w:rsidRPr="00D316A8">
        <w:rPr>
          <w:sz w:val="20"/>
          <w:szCs w:val="20"/>
        </w:rPr>
        <w:t xml:space="preserve">. The leverage variables are defined in Table 1, as of the most recent fiscal </w:t>
      </w:r>
      <w:r w:rsidR="008B078D">
        <w:rPr>
          <w:sz w:val="20"/>
          <w:szCs w:val="20"/>
        </w:rPr>
        <w:t>year-end</w:t>
      </w:r>
      <w:r w:rsidRPr="00D316A8">
        <w:rPr>
          <w:sz w:val="20"/>
          <w:szCs w:val="20"/>
        </w:rPr>
        <w:t xml:space="preserve"> prior to the transaction date. All variables are </w:t>
      </w:r>
      <w:proofErr w:type="spellStart"/>
      <w:r w:rsidRPr="00D316A8">
        <w:rPr>
          <w:sz w:val="20"/>
          <w:szCs w:val="20"/>
        </w:rPr>
        <w:t>winsorized</w:t>
      </w:r>
      <w:proofErr w:type="spellEnd"/>
      <w:r w:rsidRPr="00D316A8">
        <w:rPr>
          <w:sz w:val="20"/>
          <w:szCs w:val="20"/>
        </w:rPr>
        <w:t xml:space="preserve"> at 1% and 99%. </w:t>
      </w:r>
      <w:r>
        <w:rPr>
          <w:sz w:val="20"/>
          <w:szCs w:val="20"/>
        </w:rPr>
        <w:t>All</w:t>
      </w:r>
      <w:r w:rsidRPr="00D316A8">
        <w:rPr>
          <w:sz w:val="20"/>
          <w:szCs w:val="20"/>
        </w:rPr>
        <w:t xml:space="preserve"> regression</w:t>
      </w:r>
      <w:r>
        <w:rPr>
          <w:sz w:val="20"/>
          <w:szCs w:val="20"/>
        </w:rPr>
        <w:t>s</w:t>
      </w:r>
      <w:r w:rsidRPr="00D316A8">
        <w:rPr>
          <w:sz w:val="20"/>
          <w:szCs w:val="20"/>
        </w:rPr>
        <w:t xml:space="preserve"> include bank fixed effects, and standard errors are robust and clustered by </w:t>
      </w:r>
      <w:r w:rsidR="00ED1434">
        <w:rPr>
          <w:sz w:val="20"/>
          <w:szCs w:val="20"/>
        </w:rPr>
        <w:t>bank</w:t>
      </w:r>
      <w:r w:rsidRPr="00D316A8">
        <w:rPr>
          <w:sz w:val="20"/>
          <w:szCs w:val="20"/>
        </w:rPr>
        <w:t>. Coefficients are listed first, with t-statistics in parentheses below them. Panel</w:t>
      </w:r>
      <w:r>
        <w:rPr>
          <w:sz w:val="20"/>
          <w:szCs w:val="20"/>
        </w:rPr>
        <w:t xml:space="preserve"> </w:t>
      </w:r>
      <w:proofErr w:type="gramStart"/>
      <w:r>
        <w:rPr>
          <w:sz w:val="20"/>
          <w:szCs w:val="20"/>
        </w:rPr>
        <w:t>B(</w:t>
      </w:r>
      <w:proofErr w:type="gramEnd"/>
      <w:r w:rsidRPr="00D316A8">
        <w:rPr>
          <w:sz w:val="20"/>
          <w:szCs w:val="20"/>
        </w:rPr>
        <w:t>D</w:t>
      </w:r>
      <w:r>
        <w:rPr>
          <w:sz w:val="20"/>
          <w:szCs w:val="20"/>
        </w:rPr>
        <w:t>)</w:t>
      </w:r>
      <w:r w:rsidRPr="00D316A8">
        <w:rPr>
          <w:sz w:val="20"/>
          <w:szCs w:val="20"/>
        </w:rPr>
        <w:t xml:space="preserve"> provide</w:t>
      </w:r>
      <w:r>
        <w:rPr>
          <w:sz w:val="20"/>
          <w:szCs w:val="20"/>
        </w:rPr>
        <w:t>s</w:t>
      </w:r>
      <w:r w:rsidRPr="00D316A8">
        <w:rPr>
          <w:sz w:val="20"/>
          <w:szCs w:val="20"/>
        </w:rPr>
        <w:t xml:space="preserve"> the p-values from </w:t>
      </w:r>
      <w:proofErr w:type="spellStart"/>
      <w:r w:rsidRPr="00D316A8">
        <w:rPr>
          <w:sz w:val="20"/>
          <w:szCs w:val="20"/>
        </w:rPr>
        <w:t>Vuong</w:t>
      </w:r>
      <w:proofErr w:type="spellEnd"/>
      <w:r w:rsidRPr="00D316A8">
        <w:rPr>
          <w:sz w:val="20"/>
          <w:szCs w:val="20"/>
        </w:rPr>
        <w:t xml:space="preserve"> tests of differences in Panel </w:t>
      </w:r>
      <w:r>
        <w:rPr>
          <w:sz w:val="20"/>
          <w:szCs w:val="20"/>
        </w:rPr>
        <w:t xml:space="preserve">A(C) </w:t>
      </w:r>
      <w:r w:rsidRPr="00D316A8">
        <w:rPr>
          <w:sz w:val="20"/>
          <w:szCs w:val="20"/>
        </w:rPr>
        <w:t>models' explanatory power.</w:t>
      </w:r>
    </w:p>
    <w:p w:rsidR="00C9135B" w:rsidRDefault="00103851" w:rsidP="00103851">
      <w:pPr>
        <w:jc w:val="both"/>
        <w:rPr>
          <w:sz w:val="20"/>
          <w:szCs w:val="20"/>
        </w:rPr>
      </w:pPr>
      <w:r w:rsidRPr="00D316A8">
        <w:rPr>
          <w:sz w:val="20"/>
          <w:szCs w:val="20"/>
        </w:rPr>
        <w:t>*** Significant at the 1% level</w:t>
      </w:r>
      <w:r w:rsidR="00646505">
        <w:rPr>
          <w:sz w:val="20"/>
          <w:szCs w:val="20"/>
        </w:rPr>
        <w:t xml:space="preserve">. </w:t>
      </w:r>
      <w:r w:rsidRPr="00D316A8">
        <w:rPr>
          <w:sz w:val="20"/>
          <w:szCs w:val="20"/>
        </w:rPr>
        <w:t xml:space="preserve">  ** Significant at the 5% level</w:t>
      </w:r>
      <w:r w:rsidR="00646505">
        <w:rPr>
          <w:sz w:val="20"/>
          <w:szCs w:val="20"/>
        </w:rPr>
        <w:t xml:space="preserve">. </w:t>
      </w:r>
      <w:r w:rsidRPr="00D316A8">
        <w:rPr>
          <w:sz w:val="20"/>
          <w:szCs w:val="20"/>
        </w:rPr>
        <w:t xml:space="preserve">      * Significant at the 10% level.</w:t>
      </w:r>
    </w:p>
    <w:p w:rsidR="00C9135B" w:rsidRDefault="00C9135B">
      <w:pPr>
        <w:rPr>
          <w:sz w:val="20"/>
          <w:szCs w:val="20"/>
        </w:rPr>
      </w:pPr>
      <w:r>
        <w:rPr>
          <w:sz w:val="20"/>
          <w:szCs w:val="20"/>
        </w:rPr>
        <w:br w:type="page"/>
      </w:r>
    </w:p>
    <w:p w:rsidR="00D316A8" w:rsidRPr="00C9135B" w:rsidRDefault="0064295A" w:rsidP="00C9135B">
      <w:pPr>
        <w:jc w:val="center"/>
        <w:rPr>
          <w:sz w:val="20"/>
          <w:szCs w:val="20"/>
        </w:rPr>
      </w:pPr>
      <w:r>
        <w:rPr>
          <w:b/>
          <w:sz w:val="20"/>
          <w:szCs w:val="20"/>
        </w:rPr>
        <w:lastRenderedPageBreak/>
        <w:t>TABLE 2</w:t>
      </w:r>
      <w:r w:rsidR="00C9135B" w:rsidRPr="00C9135B">
        <w:rPr>
          <w:b/>
          <w:sz w:val="20"/>
          <w:szCs w:val="20"/>
        </w:rPr>
        <w:t xml:space="preserve"> – continued</w:t>
      </w:r>
    </w:p>
    <w:p w:rsidR="00C9135B" w:rsidRDefault="00C9135B" w:rsidP="00C9135B">
      <w:pPr>
        <w:jc w:val="center"/>
        <w:rPr>
          <w:b/>
          <w:sz w:val="20"/>
          <w:szCs w:val="20"/>
        </w:rPr>
      </w:pPr>
      <w:r w:rsidRPr="00D316A8">
        <w:rPr>
          <w:b/>
          <w:sz w:val="20"/>
          <w:szCs w:val="20"/>
        </w:rPr>
        <w:t>Results from Regressing Y</w:t>
      </w:r>
      <w:r>
        <w:rPr>
          <w:b/>
          <w:sz w:val="20"/>
          <w:szCs w:val="20"/>
        </w:rPr>
        <w:t>ield Spread on Leverage and Bank Risk Measures</w:t>
      </w:r>
    </w:p>
    <w:p w:rsidR="00C9135B" w:rsidRDefault="00A44D0B" w:rsidP="00C9135B">
      <w:pPr>
        <w:jc w:val="center"/>
        <w:rPr>
          <w:b/>
          <w:sz w:val="20"/>
          <w:szCs w:val="20"/>
        </w:rPr>
      </w:pPr>
      <w:r w:rsidRPr="00A44D0B">
        <w:rPr>
          <w:noProof/>
          <w:lang w:eastAsia="en-US"/>
        </w:rPr>
        <w:drawing>
          <wp:inline distT="0" distB="0" distL="0" distR="0">
            <wp:extent cx="5905500" cy="7200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0" cy="7200900"/>
                    </a:xfrm>
                    <a:prstGeom prst="rect">
                      <a:avLst/>
                    </a:prstGeom>
                    <a:noFill/>
                    <a:ln>
                      <a:noFill/>
                    </a:ln>
                  </pic:spPr>
                </pic:pic>
              </a:graphicData>
            </a:graphic>
          </wp:inline>
        </w:drawing>
      </w:r>
    </w:p>
    <w:p w:rsidR="00C9135B" w:rsidRDefault="00C9135B">
      <w:pPr>
        <w:rPr>
          <w:b/>
          <w:sz w:val="20"/>
          <w:szCs w:val="20"/>
        </w:rPr>
      </w:pPr>
      <w:r>
        <w:rPr>
          <w:b/>
          <w:sz w:val="20"/>
          <w:szCs w:val="20"/>
        </w:rPr>
        <w:br w:type="page"/>
      </w:r>
    </w:p>
    <w:p w:rsidR="00C9135B" w:rsidRPr="003B000D" w:rsidRDefault="0064295A" w:rsidP="00C9135B">
      <w:pPr>
        <w:jc w:val="center"/>
        <w:rPr>
          <w:b/>
          <w:sz w:val="20"/>
          <w:szCs w:val="20"/>
        </w:rPr>
      </w:pPr>
      <w:r>
        <w:rPr>
          <w:b/>
          <w:sz w:val="20"/>
          <w:szCs w:val="20"/>
        </w:rPr>
        <w:lastRenderedPageBreak/>
        <w:t>TABLE</w:t>
      </w:r>
      <w:r w:rsidRPr="003B000D">
        <w:rPr>
          <w:b/>
          <w:sz w:val="20"/>
          <w:szCs w:val="20"/>
        </w:rPr>
        <w:t xml:space="preserve"> </w:t>
      </w:r>
      <w:r w:rsidR="00C9135B" w:rsidRPr="003B000D">
        <w:rPr>
          <w:b/>
          <w:sz w:val="20"/>
          <w:szCs w:val="20"/>
        </w:rPr>
        <w:t>3</w:t>
      </w:r>
    </w:p>
    <w:p w:rsidR="001C5026" w:rsidRPr="003B000D" w:rsidRDefault="00103851" w:rsidP="00C9135B">
      <w:pPr>
        <w:jc w:val="center"/>
        <w:rPr>
          <w:b/>
          <w:sz w:val="20"/>
          <w:szCs w:val="20"/>
        </w:rPr>
      </w:pPr>
      <w:r w:rsidRPr="003B000D">
        <w:rPr>
          <w:b/>
          <w:sz w:val="20"/>
          <w:szCs w:val="20"/>
        </w:rPr>
        <w:t xml:space="preserve">Descriptive Statistics for </w:t>
      </w:r>
      <w:r>
        <w:rPr>
          <w:b/>
          <w:sz w:val="20"/>
          <w:szCs w:val="20"/>
        </w:rPr>
        <w:t>Bond Yield</w:t>
      </w:r>
      <w:r w:rsidRPr="003B000D">
        <w:rPr>
          <w:b/>
          <w:sz w:val="20"/>
          <w:szCs w:val="20"/>
        </w:rPr>
        <w:t xml:space="preserve"> Sample</w:t>
      </w:r>
      <w:r>
        <w:rPr>
          <w:b/>
          <w:sz w:val="20"/>
          <w:szCs w:val="20"/>
        </w:rPr>
        <w:t xml:space="preserve"> with </w:t>
      </w:r>
      <w:r w:rsidR="00981281">
        <w:rPr>
          <w:b/>
          <w:sz w:val="20"/>
          <w:szCs w:val="20"/>
        </w:rPr>
        <w:t>Fair Values by Financial Instrument Categories</w:t>
      </w:r>
      <w:r w:rsidR="005F1DEF">
        <w:rPr>
          <w:b/>
          <w:sz w:val="20"/>
          <w:szCs w:val="20"/>
        </w:rPr>
        <w:t xml:space="preserve"> – 28</w:t>
      </w:r>
      <w:r w:rsidRPr="003B000D">
        <w:rPr>
          <w:b/>
          <w:sz w:val="20"/>
          <w:szCs w:val="20"/>
        </w:rPr>
        <w:t xml:space="preserve"> Bank Holding Companies</w:t>
      </w:r>
    </w:p>
    <w:p w:rsidR="00F76A1C" w:rsidRDefault="00681800" w:rsidP="00C9135B">
      <w:pPr>
        <w:jc w:val="center"/>
        <w:rPr>
          <w:sz w:val="20"/>
          <w:szCs w:val="20"/>
        </w:rPr>
      </w:pPr>
      <w:r w:rsidRPr="00681800">
        <w:rPr>
          <w:noProof/>
          <w:lang w:eastAsia="en-US"/>
        </w:rPr>
        <w:drawing>
          <wp:inline distT="0" distB="0" distL="0" distR="0">
            <wp:extent cx="5867400" cy="4133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67400" cy="4133850"/>
                    </a:xfrm>
                    <a:prstGeom prst="rect">
                      <a:avLst/>
                    </a:prstGeom>
                    <a:noFill/>
                    <a:ln>
                      <a:noFill/>
                    </a:ln>
                  </pic:spPr>
                </pic:pic>
              </a:graphicData>
            </a:graphic>
          </wp:inline>
        </w:drawing>
      </w:r>
    </w:p>
    <w:p w:rsidR="003B000D" w:rsidRDefault="00103851" w:rsidP="00103851">
      <w:pPr>
        <w:jc w:val="both"/>
        <w:rPr>
          <w:sz w:val="20"/>
          <w:szCs w:val="20"/>
        </w:rPr>
      </w:pPr>
      <w:r w:rsidRPr="00D22CDA">
        <w:rPr>
          <w:sz w:val="19"/>
          <w:szCs w:val="19"/>
        </w:rPr>
        <w:t>This table provides descriptive statistics for our yield spread data</w:t>
      </w:r>
      <w:r w:rsidR="00B167A4">
        <w:rPr>
          <w:sz w:val="19"/>
          <w:szCs w:val="19"/>
        </w:rPr>
        <w:t xml:space="preserve"> s</w:t>
      </w:r>
      <w:r w:rsidRPr="00D22CDA">
        <w:rPr>
          <w:sz w:val="19"/>
          <w:szCs w:val="19"/>
        </w:rPr>
        <w:t xml:space="preserve">et </w:t>
      </w:r>
      <w:r>
        <w:rPr>
          <w:sz w:val="19"/>
          <w:szCs w:val="19"/>
        </w:rPr>
        <w:t>of 62,138</w:t>
      </w:r>
      <w:r w:rsidRPr="00D22CDA">
        <w:rPr>
          <w:sz w:val="19"/>
          <w:szCs w:val="19"/>
        </w:rPr>
        <w:t xml:space="preserve"> bank-transaction dates, made up of </w:t>
      </w:r>
      <w:r>
        <w:rPr>
          <w:sz w:val="19"/>
          <w:szCs w:val="19"/>
        </w:rPr>
        <w:t>the 28</w:t>
      </w:r>
      <w:r w:rsidRPr="00D22CDA">
        <w:rPr>
          <w:sz w:val="19"/>
          <w:szCs w:val="19"/>
        </w:rPr>
        <w:t xml:space="preserve"> bank holding companies </w:t>
      </w:r>
      <w:r>
        <w:rPr>
          <w:sz w:val="19"/>
          <w:szCs w:val="19"/>
        </w:rPr>
        <w:t>with detailed fair value information</w:t>
      </w:r>
      <w:r w:rsidR="00981281">
        <w:rPr>
          <w:sz w:val="19"/>
          <w:szCs w:val="19"/>
        </w:rPr>
        <w:t xml:space="preserve"> by financial instrument category</w:t>
      </w:r>
      <w:r>
        <w:rPr>
          <w:sz w:val="19"/>
          <w:szCs w:val="19"/>
        </w:rPr>
        <w:t xml:space="preserve"> </w:t>
      </w:r>
      <w:r w:rsidR="00981281">
        <w:rPr>
          <w:sz w:val="19"/>
          <w:szCs w:val="19"/>
        </w:rPr>
        <w:t>for</w:t>
      </w:r>
      <w:r w:rsidRPr="00D22CDA">
        <w:rPr>
          <w:sz w:val="19"/>
          <w:szCs w:val="19"/>
        </w:rPr>
        <w:t xml:space="preserve"> 1,</w:t>
      </w:r>
      <w:r>
        <w:rPr>
          <w:sz w:val="19"/>
          <w:szCs w:val="19"/>
        </w:rPr>
        <w:t>591</w:t>
      </w:r>
      <w:r w:rsidRPr="00D22CDA">
        <w:rPr>
          <w:sz w:val="19"/>
          <w:szCs w:val="19"/>
        </w:rPr>
        <w:t xml:space="preserve"> related bonds issued </w:t>
      </w:r>
      <w:r>
        <w:rPr>
          <w:sz w:val="19"/>
          <w:szCs w:val="19"/>
        </w:rPr>
        <w:t xml:space="preserve">or traded </w:t>
      </w:r>
      <w:r w:rsidRPr="00D22CDA">
        <w:rPr>
          <w:sz w:val="19"/>
          <w:szCs w:val="19"/>
        </w:rPr>
        <w:t xml:space="preserve">from </w:t>
      </w:r>
      <w:r>
        <w:rPr>
          <w:sz w:val="19"/>
          <w:szCs w:val="19"/>
        </w:rPr>
        <w:t>2005</w:t>
      </w:r>
      <w:r w:rsidRPr="00D22CDA">
        <w:rPr>
          <w:sz w:val="19"/>
          <w:szCs w:val="19"/>
        </w:rPr>
        <w:t xml:space="preserve"> through 2010.</w:t>
      </w:r>
      <w:r>
        <w:rPr>
          <w:sz w:val="19"/>
          <w:szCs w:val="19"/>
        </w:rPr>
        <w:t xml:space="preserve"> </w:t>
      </w:r>
      <w:proofErr w:type="spellStart"/>
      <w:r>
        <w:rPr>
          <w:b/>
          <w:sz w:val="19"/>
          <w:szCs w:val="19"/>
        </w:rPr>
        <w:t>FVLoans</w:t>
      </w:r>
      <w:proofErr w:type="spellEnd"/>
      <w:r>
        <w:rPr>
          <w:sz w:val="19"/>
          <w:szCs w:val="19"/>
        </w:rPr>
        <w:t xml:space="preserve"> is calculated using GAAP liabilities and assets, except for loans, which are measured at fair value. </w:t>
      </w:r>
      <w:proofErr w:type="spellStart"/>
      <w:r w:rsidR="00B167A4" w:rsidRPr="00D87C7F">
        <w:rPr>
          <w:b/>
          <w:sz w:val="19"/>
          <w:szCs w:val="19"/>
        </w:rPr>
        <w:t>FVSec</w:t>
      </w:r>
      <w:proofErr w:type="spellEnd"/>
      <w:r w:rsidR="00B167A4">
        <w:rPr>
          <w:sz w:val="19"/>
          <w:szCs w:val="19"/>
        </w:rPr>
        <w:t xml:space="preserve"> is calculated using GAAP liabilities and assets, except for investment securities, which are measured at fair value. </w:t>
      </w:r>
      <w:r w:rsidR="00B167A4" w:rsidRPr="00D87C7F">
        <w:rPr>
          <w:b/>
          <w:sz w:val="19"/>
          <w:szCs w:val="19"/>
        </w:rPr>
        <w:t>FVOA</w:t>
      </w:r>
      <w:r w:rsidR="00B167A4">
        <w:rPr>
          <w:sz w:val="19"/>
          <w:szCs w:val="19"/>
        </w:rPr>
        <w:t xml:space="preserve"> is calculated using GAAP liabilities and assets, except for other assets, which are measured at fair value. </w:t>
      </w:r>
      <w:proofErr w:type="spellStart"/>
      <w:r>
        <w:rPr>
          <w:b/>
          <w:sz w:val="19"/>
          <w:szCs w:val="19"/>
        </w:rPr>
        <w:t>FVDep</w:t>
      </w:r>
      <w:proofErr w:type="spellEnd"/>
      <w:r>
        <w:rPr>
          <w:sz w:val="19"/>
          <w:szCs w:val="19"/>
        </w:rPr>
        <w:t xml:space="preserve"> is calculated using GAAP assets and GAAP liabilities, except for deposits, which are measured at fair value </w:t>
      </w:r>
      <w:r w:rsidR="00F7340A">
        <w:rPr>
          <w:sz w:val="19"/>
          <w:szCs w:val="19"/>
        </w:rPr>
        <w:t xml:space="preserve">including </w:t>
      </w:r>
      <w:r>
        <w:rPr>
          <w:sz w:val="19"/>
          <w:szCs w:val="19"/>
        </w:rPr>
        <w:t>our estimate of the</w:t>
      </w:r>
      <w:r w:rsidR="00F7340A">
        <w:rPr>
          <w:sz w:val="19"/>
          <w:szCs w:val="19"/>
        </w:rPr>
        <w:t xml:space="preserve"> fair value of the non-term</w:t>
      </w:r>
      <w:r>
        <w:rPr>
          <w:sz w:val="19"/>
          <w:szCs w:val="19"/>
        </w:rPr>
        <w:t xml:space="preserve"> deposit.</w:t>
      </w:r>
      <w:r w:rsidRPr="00D22CDA">
        <w:rPr>
          <w:sz w:val="19"/>
          <w:szCs w:val="19"/>
        </w:rPr>
        <w:t xml:space="preserve"> </w:t>
      </w:r>
      <w:r w:rsidR="00B167A4" w:rsidRPr="00C93830">
        <w:rPr>
          <w:b/>
          <w:sz w:val="19"/>
          <w:szCs w:val="19"/>
        </w:rPr>
        <w:t>FVO</w:t>
      </w:r>
      <w:r w:rsidR="00B167A4">
        <w:rPr>
          <w:b/>
          <w:sz w:val="19"/>
          <w:szCs w:val="19"/>
        </w:rPr>
        <w:t>L</w:t>
      </w:r>
      <w:r w:rsidR="00B167A4">
        <w:rPr>
          <w:sz w:val="19"/>
          <w:szCs w:val="19"/>
        </w:rPr>
        <w:t xml:space="preserve"> is calculated using GAAP liabilities and assets, except for other liabilities, which are measured at fair value.</w:t>
      </w:r>
      <w:r w:rsidR="00B167A4" w:rsidRPr="00D316A8">
        <w:rPr>
          <w:sz w:val="20"/>
          <w:szCs w:val="20"/>
        </w:rPr>
        <w:t xml:space="preserve"> </w:t>
      </w:r>
      <w:r w:rsidRPr="00D316A8">
        <w:rPr>
          <w:sz w:val="20"/>
          <w:szCs w:val="20"/>
        </w:rPr>
        <w:t xml:space="preserve">All </w:t>
      </w:r>
      <w:r>
        <w:rPr>
          <w:sz w:val="20"/>
          <w:szCs w:val="20"/>
        </w:rPr>
        <w:t xml:space="preserve">remaining </w:t>
      </w:r>
      <w:r w:rsidRPr="00D316A8">
        <w:rPr>
          <w:sz w:val="20"/>
          <w:szCs w:val="20"/>
        </w:rPr>
        <w:t xml:space="preserve">variables are </w:t>
      </w:r>
      <w:r>
        <w:rPr>
          <w:sz w:val="20"/>
          <w:szCs w:val="20"/>
        </w:rPr>
        <w:t xml:space="preserve">as defined in Table 1, and all variables are </w:t>
      </w:r>
      <w:proofErr w:type="spellStart"/>
      <w:r>
        <w:rPr>
          <w:sz w:val="20"/>
          <w:szCs w:val="20"/>
        </w:rPr>
        <w:t>winsorized</w:t>
      </w:r>
      <w:proofErr w:type="spellEnd"/>
      <w:r>
        <w:rPr>
          <w:sz w:val="20"/>
          <w:szCs w:val="20"/>
        </w:rPr>
        <w:t xml:space="preserve"> at 1% and 99%.</w:t>
      </w:r>
      <w:r w:rsidR="003B000D">
        <w:rPr>
          <w:sz w:val="20"/>
          <w:szCs w:val="20"/>
        </w:rPr>
        <w:br w:type="page"/>
      </w:r>
    </w:p>
    <w:p w:rsidR="00103851" w:rsidRDefault="00103851" w:rsidP="003B000D">
      <w:pPr>
        <w:jc w:val="center"/>
        <w:rPr>
          <w:b/>
          <w:sz w:val="20"/>
          <w:szCs w:val="20"/>
        </w:rPr>
        <w:sectPr w:rsidR="00103851" w:rsidSect="00EF1B5D">
          <w:footerReference w:type="default" r:id="rId36"/>
          <w:pgSz w:w="12240" w:h="15840" w:code="1"/>
          <w:pgMar w:top="1440" w:right="1440" w:bottom="1440" w:left="1440" w:header="720" w:footer="720" w:gutter="0"/>
          <w:pgNumType w:start="1"/>
          <w:cols w:space="720"/>
          <w:docGrid w:linePitch="360"/>
        </w:sectPr>
      </w:pPr>
    </w:p>
    <w:p w:rsidR="003B000D" w:rsidRPr="003B000D" w:rsidRDefault="0064295A" w:rsidP="003B000D">
      <w:pPr>
        <w:jc w:val="center"/>
        <w:rPr>
          <w:b/>
          <w:sz w:val="20"/>
          <w:szCs w:val="20"/>
        </w:rPr>
      </w:pPr>
      <w:r>
        <w:rPr>
          <w:b/>
          <w:sz w:val="20"/>
          <w:szCs w:val="20"/>
        </w:rPr>
        <w:lastRenderedPageBreak/>
        <w:t>TABLE</w:t>
      </w:r>
      <w:r w:rsidRPr="003B000D">
        <w:rPr>
          <w:b/>
          <w:sz w:val="20"/>
          <w:szCs w:val="20"/>
        </w:rPr>
        <w:t xml:space="preserve"> </w:t>
      </w:r>
      <w:r w:rsidR="003B000D" w:rsidRPr="003B000D">
        <w:rPr>
          <w:b/>
          <w:sz w:val="20"/>
          <w:szCs w:val="20"/>
        </w:rPr>
        <w:t>4</w:t>
      </w:r>
    </w:p>
    <w:p w:rsidR="003B000D" w:rsidRDefault="00103851" w:rsidP="003B000D">
      <w:pPr>
        <w:jc w:val="center"/>
        <w:rPr>
          <w:b/>
          <w:sz w:val="20"/>
          <w:szCs w:val="20"/>
        </w:rPr>
      </w:pPr>
      <w:r w:rsidRPr="00D316A8">
        <w:rPr>
          <w:b/>
          <w:sz w:val="20"/>
          <w:szCs w:val="20"/>
        </w:rPr>
        <w:t>Results from Regressing Y</w:t>
      </w:r>
      <w:r>
        <w:rPr>
          <w:b/>
          <w:sz w:val="20"/>
          <w:szCs w:val="20"/>
        </w:rPr>
        <w:t xml:space="preserve">ield Spread on Leverage </w:t>
      </w:r>
      <w:r w:rsidR="005F1DEF">
        <w:rPr>
          <w:b/>
          <w:sz w:val="20"/>
          <w:szCs w:val="20"/>
        </w:rPr>
        <w:t>by Financial Instrument Category</w:t>
      </w:r>
      <w:r>
        <w:rPr>
          <w:b/>
          <w:sz w:val="20"/>
          <w:szCs w:val="20"/>
        </w:rPr>
        <w:t xml:space="preserve"> and Bank Risk Measures</w:t>
      </w:r>
    </w:p>
    <w:p w:rsidR="00CC66EE" w:rsidRDefault="00CC66EE" w:rsidP="003B000D">
      <w:pPr>
        <w:jc w:val="center"/>
        <w:rPr>
          <w:b/>
          <w:sz w:val="20"/>
          <w:szCs w:val="20"/>
        </w:rPr>
      </w:pPr>
      <w:r w:rsidRPr="00CC66EE">
        <w:rPr>
          <w:noProof/>
          <w:lang w:eastAsia="en-US"/>
        </w:rPr>
        <w:drawing>
          <wp:inline distT="0" distB="0" distL="0" distR="0">
            <wp:extent cx="8229600" cy="326526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3265262"/>
                    </a:xfrm>
                    <a:prstGeom prst="rect">
                      <a:avLst/>
                    </a:prstGeom>
                    <a:noFill/>
                    <a:ln>
                      <a:noFill/>
                    </a:ln>
                  </pic:spPr>
                </pic:pic>
              </a:graphicData>
            </a:graphic>
          </wp:inline>
        </w:drawing>
      </w:r>
    </w:p>
    <w:p w:rsidR="00103851" w:rsidRPr="00D316A8" w:rsidRDefault="00103851" w:rsidP="00103851">
      <w:pPr>
        <w:jc w:val="both"/>
        <w:rPr>
          <w:sz w:val="20"/>
          <w:szCs w:val="20"/>
        </w:rPr>
      </w:pPr>
      <w:r>
        <w:rPr>
          <w:sz w:val="20"/>
          <w:szCs w:val="20"/>
        </w:rPr>
        <w:t xml:space="preserve">This table provides the results of regressing the yield spread as of the </w:t>
      </w:r>
      <w:r w:rsidRPr="00D316A8">
        <w:rPr>
          <w:sz w:val="20"/>
          <w:szCs w:val="20"/>
        </w:rPr>
        <w:t>bond transaction date (either issuance date or trading date) on issue characteristics, bank risk measures, and each of the alternate leverage measures</w:t>
      </w:r>
      <w:r>
        <w:rPr>
          <w:sz w:val="20"/>
          <w:szCs w:val="20"/>
        </w:rPr>
        <w:t xml:space="preserve"> by </w:t>
      </w:r>
      <w:r w:rsidR="005F1DEF">
        <w:rPr>
          <w:sz w:val="20"/>
          <w:szCs w:val="20"/>
        </w:rPr>
        <w:t xml:space="preserve">financial </w:t>
      </w:r>
      <w:r w:rsidR="002A0063">
        <w:rPr>
          <w:sz w:val="20"/>
          <w:szCs w:val="20"/>
        </w:rPr>
        <w:t xml:space="preserve">instrument </w:t>
      </w:r>
      <w:r w:rsidR="005F1DEF">
        <w:rPr>
          <w:sz w:val="20"/>
          <w:szCs w:val="20"/>
        </w:rPr>
        <w:t>category</w:t>
      </w:r>
      <w:r>
        <w:rPr>
          <w:sz w:val="20"/>
          <w:szCs w:val="20"/>
        </w:rPr>
        <w:t>, with Panels A and B providing results for regressions without issue and bank control variables and Panels C and D (below) providing results including issue and bank control variables</w:t>
      </w:r>
      <w:r w:rsidRPr="00D316A8">
        <w:rPr>
          <w:sz w:val="20"/>
          <w:szCs w:val="20"/>
        </w:rPr>
        <w:t xml:space="preserve">. The sample consists of </w:t>
      </w:r>
      <w:r>
        <w:rPr>
          <w:sz w:val="20"/>
          <w:szCs w:val="20"/>
        </w:rPr>
        <w:t>28</w:t>
      </w:r>
      <w:r w:rsidRPr="00D316A8">
        <w:rPr>
          <w:sz w:val="20"/>
          <w:szCs w:val="20"/>
        </w:rPr>
        <w:t xml:space="preserve"> bank holding companies and 1,</w:t>
      </w:r>
      <w:r>
        <w:rPr>
          <w:sz w:val="20"/>
          <w:szCs w:val="20"/>
        </w:rPr>
        <w:t>591</w:t>
      </w:r>
      <w:r w:rsidRPr="00D316A8">
        <w:rPr>
          <w:sz w:val="20"/>
          <w:szCs w:val="20"/>
        </w:rPr>
        <w:t xml:space="preserve"> bonds, for a total of </w:t>
      </w:r>
      <w:r>
        <w:rPr>
          <w:sz w:val="20"/>
          <w:szCs w:val="20"/>
        </w:rPr>
        <w:t>62,138</w:t>
      </w:r>
      <w:r w:rsidRPr="00D316A8">
        <w:rPr>
          <w:sz w:val="20"/>
          <w:szCs w:val="20"/>
        </w:rPr>
        <w:t xml:space="preserve"> bank-transaction date observations from </w:t>
      </w:r>
      <w:r>
        <w:rPr>
          <w:sz w:val="20"/>
          <w:szCs w:val="20"/>
        </w:rPr>
        <w:t>2005</w:t>
      </w:r>
      <w:r w:rsidRPr="00D316A8">
        <w:rPr>
          <w:sz w:val="20"/>
          <w:szCs w:val="20"/>
        </w:rPr>
        <w:t xml:space="preserve"> through </w:t>
      </w:r>
      <w:r>
        <w:rPr>
          <w:sz w:val="20"/>
          <w:szCs w:val="20"/>
        </w:rPr>
        <w:t>2010</w:t>
      </w:r>
      <w:r w:rsidRPr="00D316A8">
        <w:rPr>
          <w:sz w:val="20"/>
          <w:szCs w:val="20"/>
        </w:rPr>
        <w:t xml:space="preserve">. All variables are </w:t>
      </w:r>
      <w:r>
        <w:rPr>
          <w:sz w:val="20"/>
          <w:szCs w:val="20"/>
        </w:rPr>
        <w:t xml:space="preserve">as defined in Tables 1 and 2, and are </w:t>
      </w:r>
      <w:proofErr w:type="spellStart"/>
      <w:r w:rsidRPr="00D316A8">
        <w:rPr>
          <w:sz w:val="20"/>
          <w:szCs w:val="20"/>
        </w:rPr>
        <w:t>winsorized</w:t>
      </w:r>
      <w:proofErr w:type="spellEnd"/>
      <w:r w:rsidRPr="00D316A8">
        <w:rPr>
          <w:sz w:val="20"/>
          <w:szCs w:val="20"/>
        </w:rPr>
        <w:t xml:space="preserve"> at 1% and 99%. </w:t>
      </w:r>
      <w:r>
        <w:rPr>
          <w:sz w:val="20"/>
          <w:szCs w:val="20"/>
        </w:rPr>
        <w:t>All</w:t>
      </w:r>
      <w:r w:rsidRPr="00D316A8">
        <w:rPr>
          <w:sz w:val="20"/>
          <w:szCs w:val="20"/>
        </w:rPr>
        <w:t xml:space="preserve"> regression</w:t>
      </w:r>
      <w:r>
        <w:rPr>
          <w:sz w:val="20"/>
          <w:szCs w:val="20"/>
        </w:rPr>
        <w:t>s</w:t>
      </w:r>
      <w:r w:rsidRPr="00D316A8">
        <w:rPr>
          <w:sz w:val="20"/>
          <w:szCs w:val="20"/>
        </w:rPr>
        <w:t xml:space="preserve"> include bank fixed effects, and standard errors are robust and clustered by </w:t>
      </w:r>
      <w:r w:rsidR="00ED1434">
        <w:rPr>
          <w:sz w:val="20"/>
          <w:szCs w:val="20"/>
        </w:rPr>
        <w:t>bank</w:t>
      </w:r>
      <w:r w:rsidRPr="00D316A8">
        <w:rPr>
          <w:sz w:val="20"/>
          <w:szCs w:val="20"/>
        </w:rPr>
        <w:t>. Coefficients are listed first, with t-statistics in parentheses below them. Panel</w:t>
      </w:r>
      <w:r>
        <w:rPr>
          <w:sz w:val="20"/>
          <w:szCs w:val="20"/>
        </w:rPr>
        <w:t xml:space="preserve"> </w:t>
      </w:r>
      <w:proofErr w:type="gramStart"/>
      <w:r>
        <w:rPr>
          <w:sz w:val="20"/>
          <w:szCs w:val="20"/>
        </w:rPr>
        <w:t>B(</w:t>
      </w:r>
      <w:proofErr w:type="gramEnd"/>
      <w:r w:rsidRPr="00D316A8">
        <w:rPr>
          <w:sz w:val="20"/>
          <w:szCs w:val="20"/>
        </w:rPr>
        <w:t>D</w:t>
      </w:r>
      <w:r>
        <w:rPr>
          <w:sz w:val="20"/>
          <w:szCs w:val="20"/>
        </w:rPr>
        <w:t>)</w:t>
      </w:r>
      <w:r w:rsidRPr="00D316A8">
        <w:rPr>
          <w:sz w:val="20"/>
          <w:szCs w:val="20"/>
        </w:rPr>
        <w:t xml:space="preserve"> provide</w:t>
      </w:r>
      <w:r>
        <w:rPr>
          <w:sz w:val="20"/>
          <w:szCs w:val="20"/>
        </w:rPr>
        <w:t>s</w:t>
      </w:r>
      <w:r w:rsidRPr="00D316A8">
        <w:rPr>
          <w:sz w:val="20"/>
          <w:szCs w:val="20"/>
        </w:rPr>
        <w:t xml:space="preserve"> the p-values from </w:t>
      </w:r>
      <w:proofErr w:type="spellStart"/>
      <w:r w:rsidRPr="00D316A8">
        <w:rPr>
          <w:sz w:val="20"/>
          <w:szCs w:val="20"/>
        </w:rPr>
        <w:t>Vuong</w:t>
      </w:r>
      <w:proofErr w:type="spellEnd"/>
      <w:r w:rsidRPr="00D316A8">
        <w:rPr>
          <w:sz w:val="20"/>
          <w:szCs w:val="20"/>
        </w:rPr>
        <w:t xml:space="preserve"> tests of differences in Panel </w:t>
      </w:r>
      <w:r>
        <w:rPr>
          <w:sz w:val="20"/>
          <w:szCs w:val="20"/>
        </w:rPr>
        <w:t xml:space="preserve">A(C) </w:t>
      </w:r>
      <w:r w:rsidRPr="00D316A8">
        <w:rPr>
          <w:sz w:val="20"/>
          <w:szCs w:val="20"/>
        </w:rPr>
        <w:t>models' explanatory power.</w:t>
      </w:r>
    </w:p>
    <w:p w:rsidR="00103851" w:rsidRDefault="00103851" w:rsidP="00103851">
      <w:pPr>
        <w:rPr>
          <w:sz w:val="20"/>
          <w:szCs w:val="20"/>
        </w:rPr>
      </w:pPr>
      <w:r w:rsidRPr="00D316A8">
        <w:rPr>
          <w:sz w:val="20"/>
          <w:szCs w:val="20"/>
        </w:rPr>
        <w:t>*** Significant at the 1% level</w:t>
      </w:r>
      <w:r w:rsidR="00646505">
        <w:rPr>
          <w:sz w:val="20"/>
          <w:szCs w:val="20"/>
        </w:rPr>
        <w:t xml:space="preserve">. </w:t>
      </w:r>
      <w:r w:rsidRPr="00D316A8">
        <w:rPr>
          <w:sz w:val="20"/>
          <w:szCs w:val="20"/>
        </w:rPr>
        <w:t xml:space="preserve">  ** Significant at the 5% level</w:t>
      </w:r>
      <w:r w:rsidR="00646505">
        <w:rPr>
          <w:sz w:val="20"/>
          <w:szCs w:val="20"/>
        </w:rPr>
        <w:t xml:space="preserve">. </w:t>
      </w:r>
      <w:r w:rsidRPr="00D316A8">
        <w:rPr>
          <w:sz w:val="20"/>
          <w:szCs w:val="20"/>
        </w:rPr>
        <w:t xml:space="preserve">      * Significant at the 10% level.</w:t>
      </w:r>
    </w:p>
    <w:p w:rsidR="00103851" w:rsidRDefault="00103851">
      <w:pPr>
        <w:rPr>
          <w:sz w:val="20"/>
          <w:szCs w:val="20"/>
        </w:rPr>
      </w:pPr>
      <w:r>
        <w:rPr>
          <w:sz w:val="20"/>
          <w:szCs w:val="20"/>
        </w:rPr>
        <w:br w:type="page"/>
      </w:r>
    </w:p>
    <w:p w:rsidR="00103851" w:rsidRPr="00B3180F" w:rsidRDefault="0064295A" w:rsidP="00103851">
      <w:pPr>
        <w:jc w:val="center"/>
        <w:rPr>
          <w:b/>
          <w:sz w:val="19"/>
          <w:szCs w:val="19"/>
        </w:rPr>
      </w:pPr>
      <w:r>
        <w:rPr>
          <w:b/>
          <w:sz w:val="19"/>
          <w:szCs w:val="19"/>
        </w:rPr>
        <w:lastRenderedPageBreak/>
        <w:t>TABLE</w:t>
      </w:r>
      <w:r w:rsidRPr="00B3180F">
        <w:rPr>
          <w:b/>
          <w:sz w:val="19"/>
          <w:szCs w:val="19"/>
        </w:rPr>
        <w:t xml:space="preserve"> </w:t>
      </w:r>
      <w:r w:rsidR="00103851" w:rsidRPr="00B3180F">
        <w:rPr>
          <w:b/>
          <w:sz w:val="19"/>
          <w:szCs w:val="19"/>
        </w:rPr>
        <w:t>4 – continued</w:t>
      </w:r>
    </w:p>
    <w:p w:rsidR="00103851" w:rsidRDefault="00103851" w:rsidP="00103851">
      <w:pPr>
        <w:jc w:val="center"/>
        <w:rPr>
          <w:b/>
          <w:sz w:val="20"/>
          <w:szCs w:val="20"/>
        </w:rPr>
      </w:pPr>
      <w:r w:rsidRPr="00B3180F">
        <w:rPr>
          <w:b/>
          <w:sz w:val="20"/>
          <w:szCs w:val="20"/>
        </w:rPr>
        <w:t xml:space="preserve">Results of Regressing </w:t>
      </w:r>
      <w:r w:rsidR="009211E8">
        <w:rPr>
          <w:b/>
          <w:sz w:val="20"/>
          <w:szCs w:val="20"/>
        </w:rPr>
        <w:t>Yield Spread</w:t>
      </w:r>
      <w:r w:rsidRPr="00B3180F">
        <w:rPr>
          <w:b/>
          <w:sz w:val="20"/>
          <w:szCs w:val="20"/>
        </w:rPr>
        <w:t xml:space="preserve"> on Leverage by</w:t>
      </w:r>
      <w:r w:rsidR="000616F4" w:rsidRPr="000616F4">
        <w:rPr>
          <w:b/>
          <w:sz w:val="20"/>
          <w:szCs w:val="20"/>
        </w:rPr>
        <w:t xml:space="preserve"> Financial Instrument Category</w:t>
      </w:r>
      <w:r w:rsidRPr="00B3180F">
        <w:rPr>
          <w:b/>
          <w:sz w:val="20"/>
          <w:szCs w:val="20"/>
        </w:rPr>
        <w:t xml:space="preserve"> and Bank Risk Measures</w:t>
      </w:r>
    </w:p>
    <w:p w:rsidR="00CC66EE" w:rsidRPr="00B3180F" w:rsidRDefault="00CC66EE" w:rsidP="00103851">
      <w:pPr>
        <w:jc w:val="center"/>
        <w:rPr>
          <w:b/>
          <w:sz w:val="20"/>
          <w:szCs w:val="20"/>
        </w:rPr>
      </w:pPr>
      <w:r w:rsidRPr="00CC66EE">
        <w:rPr>
          <w:noProof/>
          <w:lang w:eastAsia="en-US"/>
        </w:rPr>
        <w:drawing>
          <wp:inline distT="0" distB="0" distL="0" distR="0">
            <wp:extent cx="8229600" cy="55908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5590812"/>
                    </a:xfrm>
                    <a:prstGeom prst="rect">
                      <a:avLst/>
                    </a:prstGeom>
                    <a:noFill/>
                    <a:ln>
                      <a:noFill/>
                    </a:ln>
                  </pic:spPr>
                </pic:pic>
              </a:graphicData>
            </a:graphic>
          </wp:inline>
        </w:drawing>
      </w:r>
    </w:p>
    <w:p w:rsidR="00B3180F" w:rsidRPr="00B3180F" w:rsidRDefault="0064295A" w:rsidP="00B3180F">
      <w:pPr>
        <w:jc w:val="center"/>
        <w:rPr>
          <w:b/>
          <w:sz w:val="19"/>
          <w:szCs w:val="19"/>
        </w:rPr>
      </w:pPr>
      <w:r>
        <w:rPr>
          <w:b/>
          <w:sz w:val="19"/>
          <w:szCs w:val="19"/>
        </w:rPr>
        <w:lastRenderedPageBreak/>
        <w:t>TABLE</w:t>
      </w:r>
      <w:r w:rsidRPr="00B3180F">
        <w:rPr>
          <w:b/>
          <w:sz w:val="19"/>
          <w:szCs w:val="19"/>
        </w:rPr>
        <w:t xml:space="preserve"> </w:t>
      </w:r>
      <w:r w:rsidR="00B3180F" w:rsidRPr="00B3180F">
        <w:rPr>
          <w:b/>
          <w:sz w:val="19"/>
          <w:szCs w:val="19"/>
        </w:rPr>
        <w:t>4 – continued</w:t>
      </w:r>
    </w:p>
    <w:p w:rsidR="00B3180F" w:rsidRPr="00B3180F" w:rsidRDefault="00B3180F" w:rsidP="00B3180F">
      <w:pPr>
        <w:jc w:val="center"/>
        <w:rPr>
          <w:b/>
          <w:sz w:val="20"/>
          <w:szCs w:val="20"/>
        </w:rPr>
      </w:pPr>
      <w:r w:rsidRPr="00B3180F">
        <w:rPr>
          <w:b/>
          <w:sz w:val="20"/>
          <w:szCs w:val="20"/>
        </w:rPr>
        <w:t xml:space="preserve">Results of Regressing </w:t>
      </w:r>
      <w:r w:rsidR="009211E8">
        <w:rPr>
          <w:b/>
          <w:sz w:val="20"/>
          <w:szCs w:val="20"/>
        </w:rPr>
        <w:t>Yield Spread</w:t>
      </w:r>
      <w:r w:rsidRPr="00B3180F">
        <w:rPr>
          <w:b/>
          <w:sz w:val="20"/>
          <w:szCs w:val="20"/>
        </w:rPr>
        <w:t xml:space="preserve"> on Leverage </w:t>
      </w:r>
      <w:r w:rsidR="000616F4" w:rsidRPr="000616F4">
        <w:rPr>
          <w:b/>
          <w:sz w:val="20"/>
          <w:szCs w:val="20"/>
        </w:rPr>
        <w:t xml:space="preserve">by Financial Instrument Category </w:t>
      </w:r>
      <w:r w:rsidRPr="00B3180F">
        <w:rPr>
          <w:b/>
          <w:sz w:val="20"/>
          <w:szCs w:val="20"/>
        </w:rPr>
        <w:t>and Bank Risk Measures</w:t>
      </w:r>
    </w:p>
    <w:p w:rsidR="00B3180F" w:rsidRDefault="00681800" w:rsidP="00103851">
      <w:pPr>
        <w:rPr>
          <w:sz w:val="20"/>
          <w:szCs w:val="20"/>
        </w:rPr>
        <w:sectPr w:rsidR="00B3180F" w:rsidSect="00103851">
          <w:pgSz w:w="15840" w:h="12240" w:orient="landscape" w:code="1"/>
          <w:pgMar w:top="1440" w:right="1440" w:bottom="1440" w:left="1440" w:header="720" w:footer="720" w:gutter="0"/>
          <w:cols w:space="720"/>
          <w:docGrid w:linePitch="360"/>
        </w:sectPr>
      </w:pPr>
      <w:r w:rsidRPr="00681800">
        <w:rPr>
          <w:noProof/>
          <w:lang w:eastAsia="en-US"/>
        </w:rPr>
        <w:drawing>
          <wp:inline distT="0" distB="0" distL="0" distR="0">
            <wp:extent cx="8229600" cy="159466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1594663"/>
                    </a:xfrm>
                    <a:prstGeom prst="rect">
                      <a:avLst/>
                    </a:prstGeom>
                    <a:noFill/>
                    <a:ln>
                      <a:noFill/>
                    </a:ln>
                  </pic:spPr>
                </pic:pic>
              </a:graphicData>
            </a:graphic>
          </wp:inline>
        </w:drawing>
      </w:r>
    </w:p>
    <w:p w:rsidR="003B000D" w:rsidRPr="003B000D" w:rsidRDefault="0064295A" w:rsidP="003B000D">
      <w:pPr>
        <w:jc w:val="center"/>
        <w:rPr>
          <w:b/>
          <w:sz w:val="20"/>
          <w:szCs w:val="20"/>
        </w:rPr>
      </w:pPr>
      <w:r>
        <w:rPr>
          <w:b/>
          <w:sz w:val="20"/>
          <w:szCs w:val="20"/>
        </w:rPr>
        <w:lastRenderedPageBreak/>
        <w:t>TABLE</w:t>
      </w:r>
      <w:r w:rsidRPr="003B000D">
        <w:rPr>
          <w:b/>
          <w:sz w:val="20"/>
          <w:szCs w:val="20"/>
        </w:rPr>
        <w:t xml:space="preserve"> </w:t>
      </w:r>
      <w:r w:rsidR="003B000D" w:rsidRPr="003B000D">
        <w:rPr>
          <w:b/>
          <w:sz w:val="20"/>
          <w:szCs w:val="20"/>
        </w:rPr>
        <w:t>5</w:t>
      </w:r>
    </w:p>
    <w:p w:rsidR="003B000D" w:rsidRDefault="003B000D" w:rsidP="003B000D">
      <w:pPr>
        <w:jc w:val="center"/>
        <w:rPr>
          <w:b/>
          <w:sz w:val="20"/>
          <w:szCs w:val="20"/>
        </w:rPr>
      </w:pPr>
      <w:r w:rsidRPr="003B000D">
        <w:rPr>
          <w:b/>
          <w:sz w:val="20"/>
          <w:szCs w:val="20"/>
        </w:rPr>
        <w:t xml:space="preserve">Descriptive Statistics for Bank </w:t>
      </w:r>
      <w:r w:rsidR="00BF0EC7">
        <w:rPr>
          <w:b/>
          <w:sz w:val="20"/>
          <w:szCs w:val="20"/>
        </w:rPr>
        <w:t>Failure</w:t>
      </w:r>
      <w:r w:rsidRPr="003B000D">
        <w:rPr>
          <w:b/>
          <w:sz w:val="20"/>
          <w:szCs w:val="20"/>
        </w:rPr>
        <w:t xml:space="preserve"> Test Sample, </w:t>
      </w:r>
      <w:proofErr w:type="gramStart"/>
      <w:r w:rsidRPr="003B000D">
        <w:rPr>
          <w:b/>
          <w:sz w:val="20"/>
          <w:szCs w:val="20"/>
        </w:rPr>
        <w:t>1,06</w:t>
      </w:r>
      <w:r w:rsidR="00B3180F">
        <w:rPr>
          <w:b/>
          <w:sz w:val="20"/>
          <w:szCs w:val="20"/>
        </w:rPr>
        <w:t>7</w:t>
      </w:r>
      <w:r w:rsidRPr="003B000D">
        <w:rPr>
          <w:b/>
          <w:sz w:val="20"/>
          <w:szCs w:val="20"/>
        </w:rPr>
        <w:t xml:space="preserve"> Bank Holding Companies, 1997-2009</w:t>
      </w:r>
      <w:proofErr w:type="gramEnd"/>
    </w:p>
    <w:p w:rsidR="003B000D" w:rsidRPr="003B000D" w:rsidRDefault="00681800" w:rsidP="003B000D">
      <w:pPr>
        <w:rPr>
          <w:sz w:val="20"/>
          <w:szCs w:val="20"/>
        </w:rPr>
      </w:pPr>
      <w:r w:rsidRPr="00681800">
        <w:rPr>
          <w:noProof/>
          <w:lang w:eastAsia="en-US"/>
        </w:rPr>
        <w:drawing>
          <wp:inline distT="0" distB="0" distL="0" distR="0">
            <wp:extent cx="5943600" cy="40036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003609"/>
                    </a:xfrm>
                    <a:prstGeom prst="rect">
                      <a:avLst/>
                    </a:prstGeom>
                    <a:noFill/>
                    <a:ln>
                      <a:noFill/>
                    </a:ln>
                  </pic:spPr>
                </pic:pic>
              </a:graphicData>
            </a:graphic>
          </wp:inline>
        </w:drawing>
      </w:r>
    </w:p>
    <w:p w:rsidR="00B3180F" w:rsidRDefault="00B3180F" w:rsidP="00B3180F">
      <w:pPr>
        <w:jc w:val="both"/>
        <w:rPr>
          <w:sz w:val="20"/>
          <w:szCs w:val="20"/>
        </w:rPr>
      </w:pPr>
      <w:r w:rsidRPr="00E0155A">
        <w:rPr>
          <w:sz w:val="20"/>
          <w:szCs w:val="20"/>
        </w:rPr>
        <w:t xml:space="preserve">This table provides descriptive statistics for our dataset of </w:t>
      </w:r>
      <w:r>
        <w:rPr>
          <w:sz w:val="20"/>
          <w:szCs w:val="20"/>
        </w:rPr>
        <w:t>7,028</w:t>
      </w:r>
      <w:r w:rsidRPr="00E0155A">
        <w:rPr>
          <w:sz w:val="20"/>
          <w:szCs w:val="20"/>
        </w:rPr>
        <w:t xml:space="preserve"> bank-years, made up of 1,06</w:t>
      </w:r>
      <w:r>
        <w:rPr>
          <w:sz w:val="20"/>
          <w:szCs w:val="20"/>
        </w:rPr>
        <w:t>7</w:t>
      </w:r>
      <w:r w:rsidRPr="00E0155A">
        <w:rPr>
          <w:sz w:val="20"/>
          <w:szCs w:val="20"/>
        </w:rPr>
        <w:t xml:space="preserve"> bank holding companies from 1997 through 2009. </w:t>
      </w:r>
      <w:r>
        <w:rPr>
          <w:sz w:val="20"/>
          <w:szCs w:val="20"/>
        </w:rPr>
        <w:t>The variables are as defined in Table 1 and</w:t>
      </w:r>
      <w:r w:rsidRPr="00D316A8">
        <w:rPr>
          <w:sz w:val="20"/>
          <w:szCs w:val="20"/>
        </w:rPr>
        <w:t xml:space="preserve"> are </w:t>
      </w:r>
      <w:proofErr w:type="spellStart"/>
      <w:r w:rsidRPr="00D316A8">
        <w:rPr>
          <w:sz w:val="20"/>
          <w:szCs w:val="20"/>
        </w:rPr>
        <w:t>winsorized</w:t>
      </w:r>
      <w:proofErr w:type="spellEnd"/>
      <w:r w:rsidRPr="00D316A8">
        <w:rPr>
          <w:sz w:val="20"/>
          <w:szCs w:val="20"/>
        </w:rPr>
        <w:t xml:space="preserve"> at 1% and 99%.</w:t>
      </w:r>
    </w:p>
    <w:p w:rsidR="003B000D" w:rsidRDefault="003B000D" w:rsidP="003B000D">
      <w:pPr>
        <w:jc w:val="both"/>
        <w:rPr>
          <w:sz w:val="20"/>
          <w:szCs w:val="20"/>
        </w:rPr>
      </w:pPr>
    </w:p>
    <w:p w:rsidR="00E0155A" w:rsidRDefault="00E0155A">
      <w:pPr>
        <w:rPr>
          <w:sz w:val="20"/>
          <w:szCs w:val="20"/>
        </w:rPr>
      </w:pPr>
      <w:r>
        <w:rPr>
          <w:sz w:val="20"/>
          <w:szCs w:val="20"/>
        </w:rPr>
        <w:br w:type="page"/>
      </w:r>
    </w:p>
    <w:p w:rsidR="00E0155A" w:rsidRPr="00E0155A" w:rsidRDefault="0064295A" w:rsidP="00E0155A">
      <w:pPr>
        <w:jc w:val="center"/>
        <w:rPr>
          <w:b/>
          <w:sz w:val="20"/>
          <w:szCs w:val="20"/>
        </w:rPr>
      </w:pPr>
      <w:r>
        <w:rPr>
          <w:b/>
          <w:sz w:val="20"/>
          <w:szCs w:val="20"/>
        </w:rPr>
        <w:lastRenderedPageBreak/>
        <w:t>TABLE</w:t>
      </w:r>
      <w:r w:rsidRPr="00E0155A">
        <w:rPr>
          <w:b/>
          <w:sz w:val="20"/>
          <w:szCs w:val="20"/>
        </w:rPr>
        <w:t xml:space="preserve"> </w:t>
      </w:r>
      <w:r w:rsidR="00E0155A" w:rsidRPr="00E0155A">
        <w:rPr>
          <w:b/>
          <w:sz w:val="20"/>
          <w:szCs w:val="20"/>
        </w:rPr>
        <w:t>6</w:t>
      </w:r>
    </w:p>
    <w:p w:rsidR="00B3180F" w:rsidRDefault="00B3180F" w:rsidP="00B3180F">
      <w:pPr>
        <w:jc w:val="center"/>
        <w:rPr>
          <w:b/>
          <w:sz w:val="20"/>
          <w:szCs w:val="20"/>
        </w:rPr>
      </w:pPr>
      <w:r>
        <w:rPr>
          <w:b/>
          <w:sz w:val="20"/>
          <w:szCs w:val="20"/>
        </w:rPr>
        <w:t>Failure</w:t>
      </w:r>
      <w:r w:rsidRPr="00E0155A">
        <w:rPr>
          <w:b/>
          <w:sz w:val="20"/>
          <w:szCs w:val="20"/>
        </w:rPr>
        <w:t xml:space="preserve"> Predictive Ability of Leverage Measures</w:t>
      </w:r>
    </w:p>
    <w:p w:rsidR="00E0155A" w:rsidRDefault="00681800" w:rsidP="00E0155A">
      <w:pPr>
        <w:rPr>
          <w:sz w:val="20"/>
          <w:szCs w:val="20"/>
        </w:rPr>
      </w:pPr>
      <w:r w:rsidRPr="00681800">
        <w:rPr>
          <w:noProof/>
          <w:lang w:eastAsia="en-US"/>
        </w:rPr>
        <w:drawing>
          <wp:inline distT="0" distB="0" distL="0" distR="0">
            <wp:extent cx="5819775" cy="33623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9775" cy="3362325"/>
                    </a:xfrm>
                    <a:prstGeom prst="rect">
                      <a:avLst/>
                    </a:prstGeom>
                    <a:noFill/>
                    <a:ln>
                      <a:noFill/>
                    </a:ln>
                  </pic:spPr>
                </pic:pic>
              </a:graphicData>
            </a:graphic>
          </wp:inline>
        </w:drawing>
      </w:r>
    </w:p>
    <w:p w:rsidR="006C3D8A" w:rsidRDefault="00B3180F" w:rsidP="006C3D8A">
      <w:pPr>
        <w:jc w:val="both"/>
        <w:rPr>
          <w:sz w:val="20"/>
          <w:szCs w:val="20"/>
        </w:rPr>
      </w:pPr>
      <w:r w:rsidRPr="006C3D8A">
        <w:rPr>
          <w:sz w:val="20"/>
          <w:szCs w:val="20"/>
        </w:rPr>
        <w:t xml:space="preserve">This table provides the </w:t>
      </w:r>
      <w:r>
        <w:rPr>
          <w:sz w:val="20"/>
          <w:szCs w:val="20"/>
        </w:rPr>
        <w:t>failure</w:t>
      </w:r>
      <w:r w:rsidRPr="006C3D8A">
        <w:rPr>
          <w:sz w:val="20"/>
          <w:szCs w:val="20"/>
        </w:rPr>
        <w:t xml:space="preserve"> predictive ability metrics for each different leverage measure, where the </w:t>
      </w:r>
      <w:r>
        <w:rPr>
          <w:sz w:val="20"/>
          <w:szCs w:val="20"/>
        </w:rPr>
        <w:t>failure</w:t>
      </w:r>
      <w:r w:rsidRPr="006C3D8A">
        <w:rPr>
          <w:sz w:val="20"/>
          <w:szCs w:val="20"/>
        </w:rPr>
        <w:t xml:space="preserve"> predictive ability metric </w:t>
      </w:r>
      <w:r>
        <w:rPr>
          <w:sz w:val="20"/>
          <w:szCs w:val="20"/>
        </w:rPr>
        <w:t>i</w:t>
      </w:r>
      <w:r w:rsidRPr="006C3D8A">
        <w:rPr>
          <w:sz w:val="20"/>
          <w:szCs w:val="20"/>
        </w:rPr>
        <w:t xml:space="preserve">s created as follows. First, we create deciles based on each leverage measure, where decile 1 firms have the highest values for a given leverage measure and decile 10 firms the lowest values. Then, we count the number of banks within each decile that </w:t>
      </w:r>
      <w:r w:rsidR="006366B8">
        <w:rPr>
          <w:sz w:val="20"/>
          <w:szCs w:val="20"/>
        </w:rPr>
        <w:t>faile</w:t>
      </w:r>
      <w:r w:rsidRPr="006C3D8A">
        <w:rPr>
          <w:sz w:val="20"/>
          <w:szCs w:val="20"/>
        </w:rPr>
        <w:t xml:space="preserve">d within the next year (specifically, within the next 457 days, 365 plus 92 to allow for the typical reporting delay) and create a variable to capture the cumulative number of </w:t>
      </w:r>
      <w:r w:rsidR="006366B8">
        <w:rPr>
          <w:sz w:val="20"/>
          <w:szCs w:val="20"/>
        </w:rPr>
        <w:t>fail</w:t>
      </w:r>
      <w:r w:rsidRPr="006C3D8A">
        <w:rPr>
          <w:sz w:val="20"/>
          <w:szCs w:val="20"/>
        </w:rPr>
        <w:t xml:space="preserve">ed banks for each decile. For example, if 5 banks failed from the first decile of firms and an additional 4 banks failed in the second decile of firms, the cumulative number of </w:t>
      </w:r>
      <w:r>
        <w:rPr>
          <w:sz w:val="20"/>
          <w:szCs w:val="20"/>
        </w:rPr>
        <w:t>failed</w:t>
      </w:r>
      <w:r w:rsidRPr="006C3D8A">
        <w:rPr>
          <w:sz w:val="20"/>
          <w:szCs w:val="20"/>
        </w:rPr>
        <w:t xml:space="preserve"> banks would be 5 for the first decile and 9 for the second decile. Scaling the cumulative number of </w:t>
      </w:r>
      <w:r>
        <w:rPr>
          <w:sz w:val="20"/>
          <w:szCs w:val="20"/>
        </w:rPr>
        <w:t>failures</w:t>
      </w:r>
      <w:r w:rsidRPr="006C3D8A">
        <w:rPr>
          <w:sz w:val="20"/>
          <w:szCs w:val="20"/>
        </w:rPr>
        <w:t xml:space="preserve"> by the total </w:t>
      </w:r>
      <w:r>
        <w:rPr>
          <w:sz w:val="20"/>
          <w:szCs w:val="20"/>
        </w:rPr>
        <w:t>failures,</w:t>
      </w:r>
      <w:r w:rsidRPr="006C3D8A">
        <w:rPr>
          <w:sz w:val="20"/>
          <w:szCs w:val="20"/>
        </w:rPr>
        <w:t xml:space="preserve"> we construct </w:t>
      </w:r>
      <w:r w:rsidR="00CC66EE">
        <w:rPr>
          <w:sz w:val="20"/>
          <w:szCs w:val="20"/>
        </w:rPr>
        <w:t>lines</w:t>
      </w:r>
      <w:r w:rsidR="00CC66EE" w:rsidRPr="006C3D8A">
        <w:rPr>
          <w:sz w:val="20"/>
          <w:szCs w:val="20"/>
        </w:rPr>
        <w:t xml:space="preserve"> </w:t>
      </w:r>
      <w:r w:rsidRPr="006C3D8A">
        <w:rPr>
          <w:sz w:val="20"/>
          <w:szCs w:val="20"/>
        </w:rPr>
        <w:t xml:space="preserve">to represent the </w:t>
      </w:r>
      <w:proofErr w:type="spellStart"/>
      <w:r w:rsidRPr="006C3D8A">
        <w:rPr>
          <w:sz w:val="20"/>
          <w:szCs w:val="20"/>
        </w:rPr>
        <w:t>cdf</w:t>
      </w:r>
      <w:proofErr w:type="spellEnd"/>
      <w:r w:rsidRPr="006C3D8A">
        <w:rPr>
          <w:sz w:val="20"/>
          <w:szCs w:val="20"/>
        </w:rPr>
        <w:t xml:space="preserve"> of each leverage measure's predictive ability. See Figure </w:t>
      </w:r>
      <w:r>
        <w:rPr>
          <w:sz w:val="20"/>
          <w:szCs w:val="20"/>
        </w:rPr>
        <w:t>3</w:t>
      </w:r>
      <w:r w:rsidRPr="006C3D8A">
        <w:rPr>
          <w:sz w:val="20"/>
          <w:szCs w:val="20"/>
        </w:rPr>
        <w:t xml:space="preserve"> for the resulting </w:t>
      </w:r>
      <w:r w:rsidR="00CC66EE">
        <w:rPr>
          <w:sz w:val="20"/>
          <w:szCs w:val="20"/>
        </w:rPr>
        <w:t>plots</w:t>
      </w:r>
      <w:r w:rsidRPr="006C3D8A">
        <w:rPr>
          <w:sz w:val="20"/>
          <w:szCs w:val="20"/>
        </w:rPr>
        <w:t xml:space="preserve">. To compare the predictive ability of each measure, we then calculate the area under each </w:t>
      </w:r>
      <w:r w:rsidR="00CC66EE">
        <w:rPr>
          <w:sz w:val="20"/>
          <w:szCs w:val="20"/>
        </w:rPr>
        <w:t>plotline</w:t>
      </w:r>
      <w:r w:rsidR="00CC66EE" w:rsidRPr="006C3D8A">
        <w:rPr>
          <w:sz w:val="20"/>
          <w:szCs w:val="20"/>
        </w:rPr>
        <w:t xml:space="preserve"> </w:t>
      </w:r>
      <w:r w:rsidRPr="006C3D8A">
        <w:rPr>
          <w:sz w:val="20"/>
          <w:szCs w:val="20"/>
        </w:rPr>
        <w:t xml:space="preserve">(scaled by the total number of </w:t>
      </w:r>
      <w:r>
        <w:rPr>
          <w:sz w:val="20"/>
          <w:szCs w:val="20"/>
        </w:rPr>
        <w:t>failures</w:t>
      </w:r>
      <w:r w:rsidRPr="006C3D8A">
        <w:rPr>
          <w:sz w:val="20"/>
          <w:szCs w:val="20"/>
        </w:rPr>
        <w:t xml:space="preserve">). The </w:t>
      </w:r>
      <w:r w:rsidR="00CC66EE">
        <w:rPr>
          <w:sz w:val="20"/>
          <w:szCs w:val="20"/>
        </w:rPr>
        <w:t>plotline</w:t>
      </w:r>
      <w:r w:rsidRPr="006C3D8A">
        <w:rPr>
          <w:sz w:val="20"/>
          <w:szCs w:val="20"/>
        </w:rPr>
        <w:t xml:space="preserve"> with the largest area represents the leverage measure that dominates the other </w:t>
      </w:r>
      <w:r w:rsidR="00CC66EE">
        <w:rPr>
          <w:sz w:val="20"/>
          <w:szCs w:val="20"/>
        </w:rPr>
        <w:t>measures</w:t>
      </w:r>
      <w:r w:rsidR="00CC66EE" w:rsidRPr="006C3D8A">
        <w:rPr>
          <w:sz w:val="20"/>
          <w:szCs w:val="20"/>
        </w:rPr>
        <w:t xml:space="preserve"> </w:t>
      </w:r>
      <w:r w:rsidRPr="006C3D8A">
        <w:rPr>
          <w:sz w:val="20"/>
          <w:szCs w:val="20"/>
        </w:rPr>
        <w:t>in their predict</w:t>
      </w:r>
      <w:r w:rsidRPr="006C3D8A">
        <w:rPr>
          <w:rFonts w:hint="eastAsia"/>
          <w:sz w:val="20"/>
          <w:szCs w:val="20"/>
        </w:rPr>
        <w:t>ive ability (i.e.</w:t>
      </w:r>
      <w:r w:rsidR="006D5207">
        <w:rPr>
          <w:sz w:val="20"/>
          <w:szCs w:val="20"/>
        </w:rPr>
        <w:t>,</w:t>
      </w:r>
      <w:r w:rsidRPr="006C3D8A">
        <w:rPr>
          <w:rFonts w:hint="eastAsia"/>
          <w:sz w:val="20"/>
          <w:szCs w:val="20"/>
        </w:rPr>
        <w:t xml:space="preserve"> provides the "quickest" </w:t>
      </w:r>
      <w:r>
        <w:rPr>
          <w:sz w:val="20"/>
          <w:szCs w:val="20"/>
        </w:rPr>
        <w:t>failure</w:t>
      </w:r>
      <w:r w:rsidRPr="006C3D8A">
        <w:rPr>
          <w:rFonts w:hint="eastAsia"/>
          <w:sz w:val="20"/>
          <w:szCs w:val="20"/>
        </w:rPr>
        <w:t xml:space="preserve"> prediction). We use the following formula based on the area of a trapezoid to calculate the area under the </w:t>
      </w:r>
      <w:r w:rsidR="00CC66EE">
        <w:rPr>
          <w:sz w:val="20"/>
          <w:szCs w:val="20"/>
        </w:rPr>
        <w:t>plotline</w:t>
      </w:r>
      <w:r w:rsidRPr="006C3D8A">
        <w:rPr>
          <w:rFonts w:hint="eastAsia"/>
          <w:sz w:val="20"/>
          <w:szCs w:val="20"/>
        </w:rPr>
        <w:t xml:space="preserve">: </w:t>
      </w:r>
      <w:r w:rsidRPr="006C3D8A">
        <w:rPr>
          <w:rFonts w:hint="eastAsia"/>
          <w:sz w:val="20"/>
          <w:szCs w:val="20"/>
        </w:rPr>
        <w:t>∑</w:t>
      </w:r>
      <w:proofErr w:type="gramStart"/>
      <w:r w:rsidRPr="006C3D8A">
        <w:rPr>
          <w:rFonts w:hint="eastAsia"/>
          <w:sz w:val="20"/>
          <w:szCs w:val="20"/>
          <w:vertAlign w:val="superscript"/>
        </w:rPr>
        <w:t>9</w:t>
      </w:r>
      <w:r w:rsidRPr="006C3D8A">
        <w:rPr>
          <w:rFonts w:hint="eastAsia"/>
          <w:sz w:val="20"/>
          <w:szCs w:val="20"/>
          <w:vertAlign w:val="subscript"/>
        </w:rPr>
        <w:t>(</w:t>
      </w:r>
      <w:proofErr w:type="gramEnd"/>
      <w:r w:rsidRPr="006C3D8A">
        <w:rPr>
          <w:rFonts w:hint="eastAsia"/>
          <w:sz w:val="20"/>
          <w:szCs w:val="20"/>
          <w:vertAlign w:val="subscript"/>
        </w:rPr>
        <w:t>m=1)</w:t>
      </w:r>
      <w:r w:rsidRPr="006C3D8A">
        <w:rPr>
          <w:rFonts w:hint="eastAsia"/>
          <w:sz w:val="20"/>
          <w:szCs w:val="20"/>
        </w:rPr>
        <w:t>(</w:t>
      </w:r>
      <w:proofErr w:type="spellStart"/>
      <w:r w:rsidRPr="006C3D8A">
        <w:rPr>
          <w:rFonts w:hint="eastAsia"/>
          <w:sz w:val="20"/>
          <w:szCs w:val="20"/>
        </w:rPr>
        <w:t>Cum</w:t>
      </w:r>
      <w:r>
        <w:rPr>
          <w:sz w:val="20"/>
          <w:szCs w:val="20"/>
        </w:rPr>
        <w:t>Failure</w:t>
      </w:r>
      <w:r w:rsidRPr="006C3D8A">
        <w:rPr>
          <w:rFonts w:hint="eastAsia"/>
          <w:sz w:val="20"/>
          <w:szCs w:val="20"/>
          <w:vertAlign w:val="subscript"/>
        </w:rPr>
        <w:t>m</w:t>
      </w:r>
      <w:proofErr w:type="spellEnd"/>
      <w:r w:rsidRPr="006C3D8A">
        <w:rPr>
          <w:rFonts w:hint="eastAsia"/>
          <w:sz w:val="20"/>
          <w:szCs w:val="20"/>
        </w:rPr>
        <w:t>/Cum</w:t>
      </w:r>
      <w:r>
        <w:rPr>
          <w:sz w:val="20"/>
          <w:szCs w:val="20"/>
        </w:rPr>
        <w:t>Failure</w:t>
      </w:r>
      <w:r w:rsidRPr="006C3D8A">
        <w:rPr>
          <w:rFonts w:hint="eastAsia"/>
          <w:sz w:val="20"/>
          <w:szCs w:val="20"/>
          <w:vertAlign w:val="subscript"/>
        </w:rPr>
        <w:t>10</w:t>
      </w:r>
      <w:r w:rsidRPr="006C3D8A">
        <w:rPr>
          <w:rFonts w:hint="eastAsia"/>
          <w:sz w:val="20"/>
          <w:szCs w:val="20"/>
        </w:rPr>
        <w:t xml:space="preserve"> ) +1/2. We call this area the "</w:t>
      </w:r>
      <w:r>
        <w:rPr>
          <w:sz w:val="20"/>
          <w:szCs w:val="20"/>
        </w:rPr>
        <w:t>Failure</w:t>
      </w:r>
      <w:r w:rsidRPr="006C3D8A">
        <w:rPr>
          <w:rFonts w:hint="eastAsia"/>
          <w:sz w:val="20"/>
          <w:szCs w:val="20"/>
        </w:rPr>
        <w:t xml:space="preserve"> Predictive Ability" </w:t>
      </w:r>
      <w:r>
        <w:rPr>
          <w:sz w:val="20"/>
          <w:szCs w:val="20"/>
        </w:rPr>
        <w:t>metric, or F</w:t>
      </w:r>
      <w:r w:rsidRPr="006C3D8A">
        <w:rPr>
          <w:sz w:val="20"/>
          <w:szCs w:val="20"/>
        </w:rPr>
        <w:t xml:space="preserve">PA metric, and we repeat this procedure for banks that </w:t>
      </w:r>
      <w:r w:rsidR="006366B8">
        <w:rPr>
          <w:sz w:val="20"/>
          <w:szCs w:val="20"/>
        </w:rPr>
        <w:t>fail</w:t>
      </w:r>
      <w:r w:rsidRPr="006C3D8A">
        <w:rPr>
          <w:sz w:val="20"/>
          <w:szCs w:val="20"/>
        </w:rPr>
        <w:t xml:space="preserve"> within the year that is two</w:t>
      </w:r>
      <w:r>
        <w:rPr>
          <w:sz w:val="20"/>
          <w:szCs w:val="20"/>
        </w:rPr>
        <w:t xml:space="preserve"> and</w:t>
      </w:r>
      <w:r w:rsidRPr="006C3D8A">
        <w:rPr>
          <w:sz w:val="20"/>
          <w:szCs w:val="20"/>
        </w:rPr>
        <w:t xml:space="preserve"> three years away (that is, between 458 and 822 da</w:t>
      </w:r>
      <w:r>
        <w:rPr>
          <w:sz w:val="20"/>
          <w:szCs w:val="20"/>
        </w:rPr>
        <w:t>ys for 2 years prior to failure and</w:t>
      </w:r>
      <w:r w:rsidRPr="006C3D8A">
        <w:rPr>
          <w:sz w:val="20"/>
          <w:szCs w:val="20"/>
        </w:rPr>
        <w:t xml:space="preserve"> between 823 and 1</w:t>
      </w:r>
      <w:r w:rsidR="006D5207">
        <w:rPr>
          <w:sz w:val="20"/>
          <w:szCs w:val="20"/>
        </w:rPr>
        <w:t>,</w:t>
      </w:r>
      <w:r w:rsidRPr="006C3D8A">
        <w:rPr>
          <w:sz w:val="20"/>
          <w:szCs w:val="20"/>
        </w:rPr>
        <w:t xml:space="preserve">187 days for 3 years prior to failure, excluding observations that </w:t>
      </w:r>
      <w:r>
        <w:rPr>
          <w:sz w:val="20"/>
          <w:szCs w:val="20"/>
        </w:rPr>
        <w:t>fail</w:t>
      </w:r>
      <w:r w:rsidRPr="006C3D8A">
        <w:rPr>
          <w:sz w:val="20"/>
          <w:szCs w:val="20"/>
        </w:rPr>
        <w:t xml:space="preserve"> sooner than two</w:t>
      </w:r>
      <w:r>
        <w:rPr>
          <w:sz w:val="20"/>
          <w:szCs w:val="20"/>
        </w:rPr>
        <w:t xml:space="preserve"> or three</w:t>
      </w:r>
      <w:r w:rsidRPr="006C3D8A">
        <w:rPr>
          <w:sz w:val="20"/>
          <w:szCs w:val="20"/>
        </w:rPr>
        <w:t xml:space="preserve"> years for the respective procedures). We provide these metrics and the ranking of the leverage measures' predictive ability in Panel A. In Panel B, we provide the p-values for the statistical significance of the difference between each leverage measure's </w:t>
      </w:r>
      <w:r>
        <w:rPr>
          <w:sz w:val="20"/>
          <w:szCs w:val="20"/>
        </w:rPr>
        <w:t>F</w:t>
      </w:r>
      <w:r w:rsidRPr="006C3D8A">
        <w:rPr>
          <w:sz w:val="20"/>
          <w:szCs w:val="20"/>
        </w:rPr>
        <w:t xml:space="preserve">PA, based on permutation analysis that constructs the distribution of the </w:t>
      </w:r>
      <w:r>
        <w:rPr>
          <w:sz w:val="20"/>
          <w:szCs w:val="20"/>
        </w:rPr>
        <w:t>F</w:t>
      </w:r>
      <w:r w:rsidRPr="006C3D8A">
        <w:rPr>
          <w:sz w:val="20"/>
          <w:szCs w:val="20"/>
        </w:rPr>
        <w:t>PA metrics under the null hypothesis of no difference between the leverage measures. Specifically, we shuffle the assignment of which obse</w:t>
      </w:r>
      <w:r>
        <w:rPr>
          <w:sz w:val="20"/>
          <w:szCs w:val="20"/>
        </w:rPr>
        <w:t>rvations failed, construct the F</w:t>
      </w:r>
      <w:r w:rsidRPr="006C3D8A">
        <w:rPr>
          <w:sz w:val="20"/>
          <w:szCs w:val="20"/>
        </w:rPr>
        <w:t>PA metrics again, and repeat the process 1</w:t>
      </w:r>
      <w:r w:rsidR="006D5207">
        <w:rPr>
          <w:sz w:val="20"/>
          <w:szCs w:val="20"/>
        </w:rPr>
        <w:t>,</w:t>
      </w:r>
      <w:r w:rsidRPr="006C3D8A">
        <w:rPr>
          <w:sz w:val="20"/>
          <w:szCs w:val="20"/>
        </w:rPr>
        <w:t>000 times. The p-values are the number of times the shuffled absolute difference between each pair is equal to or larger than the actual absolute difference between each pair, divided by 1</w:t>
      </w:r>
      <w:r w:rsidR="006D5207">
        <w:rPr>
          <w:sz w:val="20"/>
          <w:szCs w:val="20"/>
        </w:rPr>
        <w:t>,</w:t>
      </w:r>
      <w:r w:rsidRPr="006C3D8A">
        <w:rPr>
          <w:sz w:val="20"/>
          <w:szCs w:val="20"/>
        </w:rPr>
        <w:t>000. P-values less than or equal to 0.10 are in bold.</w:t>
      </w:r>
    </w:p>
    <w:p w:rsidR="006C3D8A" w:rsidRDefault="006C3D8A">
      <w:pPr>
        <w:rPr>
          <w:sz w:val="20"/>
          <w:szCs w:val="20"/>
        </w:rPr>
      </w:pPr>
      <w:r>
        <w:rPr>
          <w:sz w:val="20"/>
          <w:szCs w:val="20"/>
        </w:rPr>
        <w:br w:type="page"/>
      </w:r>
    </w:p>
    <w:p w:rsidR="00433EC6" w:rsidRPr="00B008CE" w:rsidRDefault="0064295A" w:rsidP="00433EC6">
      <w:pPr>
        <w:jc w:val="center"/>
        <w:rPr>
          <w:b/>
          <w:sz w:val="20"/>
          <w:szCs w:val="20"/>
        </w:rPr>
      </w:pPr>
      <w:r>
        <w:rPr>
          <w:b/>
          <w:sz w:val="20"/>
          <w:szCs w:val="20"/>
        </w:rPr>
        <w:lastRenderedPageBreak/>
        <w:t>TABLE</w:t>
      </w:r>
      <w:r w:rsidRPr="00B008CE">
        <w:rPr>
          <w:b/>
          <w:sz w:val="20"/>
          <w:szCs w:val="20"/>
        </w:rPr>
        <w:t xml:space="preserve"> </w:t>
      </w:r>
      <w:r w:rsidR="00433EC6" w:rsidRPr="00B008CE">
        <w:rPr>
          <w:b/>
          <w:sz w:val="20"/>
          <w:szCs w:val="20"/>
        </w:rPr>
        <w:t>7</w:t>
      </w:r>
    </w:p>
    <w:p w:rsidR="00433EC6" w:rsidRDefault="00B3180F" w:rsidP="00433EC6">
      <w:pPr>
        <w:jc w:val="center"/>
        <w:rPr>
          <w:b/>
          <w:sz w:val="20"/>
          <w:szCs w:val="20"/>
        </w:rPr>
      </w:pPr>
      <w:r w:rsidRPr="00B008CE">
        <w:rPr>
          <w:b/>
          <w:sz w:val="20"/>
          <w:szCs w:val="20"/>
        </w:rPr>
        <w:t xml:space="preserve">Results of Regressing Bank </w:t>
      </w:r>
      <w:r>
        <w:rPr>
          <w:b/>
          <w:sz w:val="20"/>
          <w:szCs w:val="20"/>
        </w:rPr>
        <w:t>Failure</w:t>
      </w:r>
      <w:r w:rsidRPr="00B008CE">
        <w:rPr>
          <w:b/>
          <w:sz w:val="20"/>
          <w:szCs w:val="20"/>
        </w:rPr>
        <w:t xml:space="preserve"> on Leverage Measures</w:t>
      </w:r>
    </w:p>
    <w:p w:rsidR="00557A54" w:rsidRDefault="00E875A2" w:rsidP="00433EC6">
      <w:pPr>
        <w:jc w:val="center"/>
        <w:rPr>
          <w:b/>
          <w:sz w:val="20"/>
          <w:szCs w:val="20"/>
        </w:rPr>
      </w:pPr>
      <w:r w:rsidRPr="00E875A2">
        <w:rPr>
          <w:noProof/>
          <w:lang w:eastAsia="en-US"/>
        </w:rPr>
        <w:drawing>
          <wp:inline distT="0" distB="0" distL="0" distR="0">
            <wp:extent cx="5924550" cy="3886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24550" cy="3886200"/>
                    </a:xfrm>
                    <a:prstGeom prst="rect">
                      <a:avLst/>
                    </a:prstGeom>
                    <a:noFill/>
                    <a:ln>
                      <a:noFill/>
                    </a:ln>
                  </pic:spPr>
                </pic:pic>
              </a:graphicData>
            </a:graphic>
          </wp:inline>
        </w:drawing>
      </w:r>
    </w:p>
    <w:p w:rsidR="00B3180F" w:rsidRDefault="00E875A2" w:rsidP="00433EC6">
      <w:pPr>
        <w:jc w:val="center"/>
        <w:rPr>
          <w:b/>
          <w:sz w:val="20"/>
          <w:szCs w:val="20"/>
        </w:rPr>
      </w:pPr>
      <w:r w:rsidRPr="00E875A2">
        <w:rPr>
          <w:noProof/>
          <w:lang w:eastAsia="en-US"/>
        </w:rPr>
        <w:drawing>
          <wp:inline distT="0" distB="0" distL="0" distR="0">
            <wp:extent cx="5943600" cy="17973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797345"/>
                    </a:xfrm>
                    <a:prstGeom prst="rect">
                      <a:avLst/>
                    </a:prstGeom>
                    <a:noFill/>
                    <a:ln>
                      <a:noFill/>
                    </a:ln>
                  </pic:spPr>
                </pic:pic>
              </a:graphicData>
            </a:graphic>
          </wp:inline>
        </w:drawing>
      </w:r>
    </w:p>
    <w:p w:rsidR="00B3180F" w:rsidRDefault="00B3180F" w:rsidP="00B3180F">
      <w:pPr>
        <w:jc w:val="both"/>
        <w:rPr>
          <w:sz w:val="20"/>
          <w:szCs w:val="20"/>
        </w:rPr>
      </w:pPr>
      <w:r w:rsidRPr="00B008CE">
        <w:rPr>
          <w:sz w:val="20"/>
          <w:szCs w:val="20"/>
        </w:rPr>
        <w:t xml:space="preserve">This table provides the results of </w:t>
      </w:r>
      <w:r>
        <w:rPr>
          <w:sz w:val="20"/>
          <w:szCs w:val="20"/>
        </w:rPr>
        <w:t xml:space="preserve">a </w:t>
      </w:r>
      <w:proofErr w:type="spellStart"/>
      <w:r>
        <w:rPr>
          <w:sz w:val="20"/>
          <w:szCs w:val="20"/>
        </w:rPr>
        <w:t>logit</w:t>
      </w:r>
      <w:proofErr w:type="spellEnd"/>
      <w:r>
        <w:rPr>
          <w:sz w:val="20"/>
          <w:szCs w:val="20"/>
        </w:rPr>
        <w:t xml:space="preserve"> regression of </w:t>
      </w:r>
      <w:r w:rsidRPr="00B008CE">
        <w:rPr>
          <w:sz w:val="20"/>
          <w:szCs w:val="20"/>
        </w:rPr>
        <w:t xml:space="preserve">a bank failure indicator variable on bank-specific leverage </w:t>
      </w:r>
      <w:r>
        <w:rPr>
          <w:sz w:val="20"/>
          <w:szCs w:val="20"/>
        </w:rPr>
        <w:t>measures (but no control variables)</w:t>
      </w:r>
      <w:r w:rsidRPr="00B008CE">
        <w:rPr>
          <w:sz w:val="20"/>
          <w:szCs w:val="20"/>
        </w:rPr>
        <w:t>. The primary sample consists of 1,06</w:t>
      </w:r>
      <w:r>
        <w:rPr>
          <w:sz w:val="20"/>
          <w:szCs w:val="20"/>
        </w:rPr>
        <w:t>7</w:t>
      </w:r>
      <w:r w:rsidRPr="00B008CE">
        <w:rPr>
          <w:sz w:val="20"/>
          <w:szCs w:val="20"/>
        </w:rPr>
        <w:t xml:space="preserve"> banks and </w:t>
      </w:r>
      <w:r>
        <w:rPr>
          <w:sz w:val="20"/>
          <w:szCs w:val="20"/>
        </w:rPr>
        <w:t>7,028</w:t>
      </w:r>
      <w:r w:rsidRPr="00B008CE">
        <w:rPr>
          <w:sz w:val="20"/>
          <w:szCs w:val="20"/>
        </w:rPr>
        <w:t xml:space="preserve"> observations from 1997 through 2009, and the variables are as defined in Table 1</w:t>
      </w:r>
      <w:r>
        <w:rPr>
          <w:sz w:val="20"/>
          <w:szCs w:val="20"/>
        </w:rPr>
        <w:t xml:space="preserve"> and are </w:t>
      </w:r>
      <w:proofErr w:type="spellStart"/>
      <w:r>
        <w:rPr>
          <w:sz w:val="20"/>
          <w:szCs w:val="20"/>
        </w:rPr>
        <w:t>winsorized</w:t>
      </w:r>
      <w:proofErr w:type="spellEnd"/>
      <w:r>
        <w:rPr>
          <w:sz w:val="20"/>
          <w:szCs w:val="20"/>
        </w:rPr>
        <w:t xml:space="preserve"> at 1% and 99%</w:t>
      </w:r>
      <w:r w:rsidRPr="00B008CE">
        <w:rPr>
          <w:sz w:val="20"/>
          <w:szCs w:val="20"/>
        </w:rPr>
        <w:t>. We repeat the regressions for firms that fail in the next year (within 36</w:t>
      </w:r>
      <w:r>
        <w:rPr>
          <w:sz w:val="20"/>
          <w:szCs w:val="20"/>
        </w:rPr>
        <w:t>5 + 92 days),</w:t>
      </w:r>
      <w:r w:rsidRPr="00B008CE">
        <w:rPr>
          <w:sz w:val="20"/>
          <w:szCs w:val="20"/>
        </w:rPr>
        <w:t xml:space="preserve"> two years ahead (between 458 and 822 days), and three years ahead (between 823 and 1</w:t>
      </w:r>
      <w:r w:rsidR="006D5207">
        <w:rPr>
          <w:sz w:val="20"/>
          <w:szCs w:val="20"/>
        </w:rPr>
        <w:t>,</w:t>
      </w:r>
      <w:r w:rsidRPr="00B008CE">
        <w:rPr>
          <w:sz w:val="20"/>
          <w:szCs w:val="20"/>
        </w:rPr>
        <w:t>187 days), excluding observations that failed in less time for the later regressions (e.g.</w:t>
      </w:r>
      <w:r w:rsidR="006D5207">
        <w:rPr>
          <w:sz w:val="20"/>
          <w:szCs w:val="20"/>
        </w:rPr>
        <w:t>,</w:t>
      </w:r>
      <w:r w:rsidRPr="00B008CE">
        <w:rPr>
          <w:sz w:val="20"/>
          <w:szCs w:val="20"/>
        </w:rPr>
        <w:t xml:space="preserve"> exclude a</w:t>
      </w:r>
      <w:r w:rsidR="00E875A2">
        <w:rPr>
          <w:sz w:val="20"/>
          <w:szCs w:val="20"/>
        </w:rPr>
        <w:t>n</w:t>
      </w:r>
      <w:r w:rsidRPr="00B008CE">
        <w:rPr>
          <w:sz w:val="20"/>
          <w:szCs w:val="20"/>
        </w:rPr>
        <w:t xml:space="preserve"> observation that fails in the next year when running the </w:t>
      </w:r>
      <w:r>
        <w:rPr>
          <w:sz w:val="20"/>
          <w:szCs w:val="20"/>
        </w:rPr>
        <w:t>two</w:t>
      </w:r>
      <w:r w:rsidR="006D5207">
        <w:rPr>
          <w:sz w:val="20"/>
          <w:szCs w:val="20"/>
        </w:rPr>
        <w:t>-</w:t>
      </w:r>
      <w:r w:rsidRPr="00B008CE">
        <w:rPr>
          <w:sz w:val="20"/>
          <w:szCs w:val="20"/>
        </w:rPr>
        <w:t xml:space="preserve"> and </w:t>
      </w:r>
      <w:r>
        <w:rPr>
          <w:sz w:val="20"/>
          <w:szCs w:val="20"/>
        </w:rPr>
        <w:t>three</w:t>
      </w:r>
      <w:r w:rsidR="006D5207">
        <w:rPr>
          <w:sz w:val="20"/>
          <w:szCs w:val="20"/>
        </w:rPr>
        <w:t>-</w:t>
      </w:r>
      <w:r w:rsidRPr="00B008CE">
        <w:rPr>
          <w:sz w:val="20"/>
          <w:szCs w:val="20"/>
        </w:rPr>
        <w:t>ye</w:t>
      </w:r>
      <w:r>
        <w:rPr>
          <w:sz w:val="20"/>
          <w:szCs w:val="20"/>
        </w:rPr>
        <w:t>ars-ahead regressions). We display</w:t>
      </w:r>
      <w:r w:rsidRPr="00B008CE">
        <w:rPr>
          <w:sz w:val="20"/>
          <w:szCs w:val="20"/>
        </w:rPr>
        <w:t xml:space="preserve"> the </w:t>
      </w:r>
      <w:r>
        <w:rPr>
          <w:sz w:val="20"/>
          <w:szCs w:val="20"/>
        </w:rPr>
        <w:t>coefficients and regression results for one, two, and three years ahead in Panels A, B, and C, respectively</w:t>
      </w:r>
      <w:r w:rsidRPr="00B008CE">
        <w:rPr>
          <w:sz w:val="20"/>
          <w:szCs w:val="20"/>
        </w:rPr>
        <w:t>. Coefficients are listed first, with t-statistics in parentheses below them for variables of interest.</w:t>
      </w:r>
      <w:r>
        <w:rPr>
          <w:sz w:val="20"/>
          <w:szCs w:val="20"/>
        </w:rPr>
        <w:t xml:space="preserve"> </w:t>
      </w:r>
      <w:r w:rsidRPr="00B008CE">
        <w:rPr>
          <w:sz w:val="20"/>
          <w:szCs w:val="20"/>
        </w:rPr>
        <w:t xml:space="preserve">In Panel </w:t>
      </w:r>
      <w:r>
        <w:rPr>
          <w:sz w:val="20"/>
          <w:szCs w:val="20"/>
        </w:rPr>
        <w:t>D</w:t>
      </w:r>
      <w:r w:rsidRPr="00B008CE">
        <w:rPr>
          <w:sz w:val="20"/>
          <w:szCs w:val="20"/>
        </w:rPr>
        <w:t xml:space="preserve">, we provide the p-values for the statistical significance of the difference between each leverage measure's pseudo R2, based on permutation analysis that constructs the distribution of the pseudo R2s under the null hypothesis of no difference between the leverage measures. Specifically, we shuffle the assignment of which bank-observations failed, run the </w:t>
      </w:r>
      <w:proofErr w:type="spellStart"/>
      <w:r w:rsidRPr="00B008CE">
        <w:rPr>
          <w:sz w:val="20"/>
          <w:szCs w:val="20"/>
        </w:rPr>
        <w:t>logit</w:t>
      </w:r>
      <w:proofErr w:type="spellEnd"/>
      <w:r w:rsidRPr="00B008CE">
        <w:rPr>
          <w:sz w:val="20"/>
          <w:szCs w:val="20"/>
        </w:rPr>
        <w:t xml:space="preserve"> regressions again, capture the pseudo R2s, and repeat the process 1</w:t>
      </w:r>
      <w:r w:rsidR="006D5207">
        <w:rPr>
          <w:sz w:val="20"/>
          <w:szCs w:val="20"/>
        </w:rPr>
        <w:t>,</w:t>
      </w:r>
      <w:r w:rsidRPr="00B008CE">
        <w:rPr>
          <w:sz w:val="20"/>
          <w:szCs w:val="20"/>
        </w:rPr>
        <w:t>000 times. The p-values are the number of times the shuffled absolute difference between each pair is equal to or larger than the actual absolute difference between each pair, divided by 1</w:t>
      </w:r>
      <w:r w:rsidR="006D5207">
        <w:rPr>
          <w:sz w:val="20"/>
          <w:szCs w:val="20"/>
        </w:rPr>
        <w:t>,</w:t>
      </w:r>
      <w:r w:rsidRPr="00B008CE">
        <w:rPr>
          <w:sz w:val="20"/>
          <w:szCs w:val="20"/>
        </w:rPr>
        <w:t>000. P-values less than or equal to 0.10 are in bold.</w:t>
      </w:r>
    </w:p>
    <w:p w:rsidR="00557A54" w:rsidRDefault="00B3180F" w:rsidP="006366B8">
      <w:pPr>
        <w:jc w:val="both"/>
        <w:rPr>
          <w:sz w:val="20"/>
          <w:szCs w:val="20"/>
        </w:rPr>
      </w:pPr>
      <w:r w:rsidRPr="00B008CE">
        <w:rPr>
          <w:sz w:val="20"/>
          <w:szCs w:val="20"/>
        </w:rPr>
        <w:t>*** Significant at the 1% level</w:t>
      </w:r>
      <w:r w:rsidR="00646505">
        <w:rPr>
          <w:sz w:val="20"/>
          <w:szCs w:val="20"/>
        </w:rPr>
        <w:t xml:space="preserve">. </w:t>
      </w:r>
      <w:r w:rsidRPr="00B008CE">
        <w:rPr>
          <w:sz w:val="20"/>
          <w:szCs w:val="20"/>
        </w:rPr>
        <w:t xml:space="preserve">  ** Significant at the 5% level</w:t>
      </w:r>
      <w:r w:rsidR="00646505">
        <w:rPr>
          <w:sz w:val="20"/>
          <w:szCs w:val="20"/>
        </w:rPr>
        <w:t xml:space="preserve">. </w:t>
      </w:r>
      <w:r w:rsidRPr="00B008CE">
        <w:rPr>
          <w:sz w:val="20"/>
          <w:szCs w:val="20"/>
        </w:rPr>
        <w:t xml:space="preserve">      * Significant at the 10% level.</w:t>
      </w:r>
      <w:r w:rsidR="00557A54">
        <w:rPr>
          <w:sz w:val="20"/>
          <w:szCs w:val="20"/>
        </w:rPr>
        <w:br w:type="page"/>
      </w:r>
    </w:p>
    <w:p w:rsidR="006C3D8A" w:rsidRPr="00B008CE" w:rsidRDefault="0064295A" w:rsidP="00B008CE">
      <w:pPr>
        <w:jc w:val="center"/>
        <w:rPr>
          <w:b/>
          <w:sz w:val="20"/>
          <w:szCs w:val="20"/>
        </w:rPr>
      </w:pPr>
      <w:r>
        <w:rPr>
          <w:b/>
          <w:sz w:val="20"/>
          <w:szCs w:val="20"/>
        </w:rPr>
        <w:lastRenderedPageBreak/>
        <w:t>TABLE</w:t>
      </w:r>
      <w:r w:rsidRPr="00B008CE">
        <w:rPr>
          <w:b/>
          <w:sz w:val="20"/>
          <w:szCs w:val="20"/>
        </w:rPr>
        <w:t xml:space="preserve"> </w:t>
      </w:r>
      <w:r w:rsidR="00557A54">
        <w:rPr>
          <w:b/>
          <w:sz w:val="20"/>
          <w:szCs w:val="20"/>
        </w:rPr>
        <w:t>8</w:t>
      </w:r>
    </w:p>
    <w:p w:rsidR="006C3D8A" w:rsidRDefault="006366B8" w:rsidP="006366B8">
      <w:pPr>
        <w:jc w:val="center"/>
        <w:rPr>
          <w:b/>
          <w:sz w:val="20"/>
          <w:szCs w:val="20"/>
        </w:rPr>
      </w:pPr>
      <w:r w:rsidRPr="00B008CE">
        <w:rPr>
          <w:b/>
          <w:sz w:val="20"/>
          <w:szCs w:val="20"/>
        </w:rPr>
        <w:t xml:space="preserve">Results of Regressing Bank </w:t>
      </w:r>
      <w:r>
        <w:rPr>
          <w:b/>
          <w:sz w:val="20"/>
          <w:szCs w:val="20"/>
        </w:rPr>
        <w:t>Failure</w:t>
      </w:r>
      <w:r w:rsidRPr="00B008CE">
        <w:rPr>
          <w:b/>
          <w:sz w:val="20"/>
          <w:szCs w:val="20"/>
        </w:rPr>
        <w:t xml:space="preserve"> on Leverage and Bank Risk Measures</w:t>
      </w:r>
    </w:p>
    <w:p w:rsidR="00B008CE" w:rsidRDefault="006366B8" w:rsidP="00B008CE">
      <w:pPr>
        <w:jc w:val="center"/>
        <w:rPr>
          <w:sz w:val="20"/>
          <w:szCs w:val="20"/>
        </w:rPr>
      </w:pPr>
      <w:r w:rsidRPr="006366B8">
        <w:rPr>
          <w:noProof/>
          <w:szCs w:val="20"/>
          <w:lang w:eastAsia="en-US"/>
        </w:rPr>
        <w:drawing>
          <wp:inline distT="0" distB="0" distL="0" distR="0">
            <wp:extent cx="5619750" cy="7419975"/>
            <wp:effectExtent l="19050" t="0" r="0" b="0"/>
            <wp:docPr id="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srcRect/>
                    <a:stretch>
                      <a:fillRect/>
                    </a:stretch>
                  </pic:blipFill>
                  <pic:spPr bwMode="auto">
                    <a:xfrm>
                      <a:off x="0" y="0"/>
                      <a:ext cx="5619750" cy="7419975"/>
                    </a:xfrm>
                    <a:prstGeom prst="rect">
                      <a:avLst/>
                    </a:prstGeom>
                    <a:noFill/>
                    <a:ln w="9525">
                      <a:noFill/>
                      <a:miter lim="800000"/>
                      <a:headEnd/>
                      <a:tailEnd/>
                    </a:ln>
                  </pic:spPr>
                </pic:pic>
              </a:graphicData>
            </a:graphic>
          </wp:inline>
        </w:drawing>
      </w:r>
    </w:p>
    <w:p w:rsidR="00B008CE" w:rsidRPr="00B008CE" w:rsidRDefault="00B008CE" w:rsidP="00B008CE">
      <w:pPr>
        <w:jc w:val="center"/>
        <w:rPr>
          <w:b/>
          <w:sz w:val="20"/>
          <w:szCs w:val="20"/>
        </w:rPr>
      </w:pPr>
      <w:r>
        <w:rPr>
          <w:sz w:val="20"/>
          <w:szCs w:val="20"/>
        </w:rPr>
        <w:br w:type="page"/>
      </w:r>
      <w:r w:rsidR="0064295A">
        <w:rPr>
          <w:b/>
          <w:sz w:val="20"/>
          <w:szCs w:val="20"/>
        </w:rPr>
        <w:lastRenderedPageBreak/>
        <w:t>TABLE</w:t>
      </w:r>
      <w:r w:rsidR="0064295A" w:rsidRPr="00B008CE">
        <w:rPr>
          <w:b/>
          <w:sz w:val="20"/>
          <w:szCs w:val="20"/>
        </w:rPr>
        <w:t xml:space="preserve"> </w:t>
      </w:r>
      <w:r w:rsidR="00557A54">
        <w:rPr>
          <w:b/>
          <w:sz w:val="20"/>
          <w:szCs w:val="20"/>
        </w:rPr>
        <w:t>8</w:t>
      </w:r>
      <w:r w:rsidRPr="00B008CE">
        <w:rPr>
          <w:b/>
          <w:sz w:val="20"/>
          <w:szCs w:val="20"/>
        </w:rPr>
        <w:t xml:space="preserve"> – continued</w:t>
      </w:r>
    </w:p>
    <w:p w:rsidR="006366B8" w:rsidRDefault="006366B8" w:rsidP="006366B8">
      <w:pPr>
        <w:jc w:val="center"/>
        <w:rPr>
          <w:b/>
          <w:sz w:val="20"/>
          <w:szCs w:val="20"/>
        </w:rPr>
      </w:pPr>
      <w:r w:rsidRPr="00B008CE">
        <w:rPr>
          <w:b/>
          <w:sz w:val="20"/>
          <w:szCs w:val="20"/>
        </w:rPr>
        <w:t xml:space="preserve">Results of Regressing Bank </w:t>
      </w:r>
      <w:r>
        <w:rPr>
          <w:b/>
          <w:sz w:val="20"/>
          <w:szCs w:val="20"/>
        </w:rPr>
        <w:t xml:space="preserve">Failure </w:t>
      </w:r>
      <w:r w:rsidRPr="00B008CE">
        <w:rPr>
          <w:b/>
          <w:sz w:val="20"/>
          <w:szCs w:val="20"/>
        </w:rPr>
        <w:t>on Leverage and Bank Risk Measures</w:t>
      </w:r>
    </w:p>
    <w:p w:rsidR="00B008CE" w:rsidRDefault="00A767AF" w:rsidP="00B008CE">
      <w:pPr>
        <w:rPr>
          <w:sz w:val="20"/>
          <w:szCs w:val="20"/>
        </w:rPr>
      </w:pPr>
      <w:r w:rsidRPr="00A767AF">
        <w:rPr>
          <w:noProof/>
          <w:szCs w:val="20"/>
          <w:lang w:eastAsia="en-US"/>
        </w:rPr>
        <w:drawing>
          <wp:inline distT="0" distB="0" distL="0" distR="0">
            <wp:extent cx="5619750" cy="36957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5619750" cy="3695700"/>
                    </a:xfrm>
                    <a:prstGeom prst="rect">
                      <a:avLst/>
                    </a:prstGeom>
                    <a:noFill/>
                    <a:ln w="9525">
                      <a:noFill/>
                      <a:miter lim="800000"/>
                      <a:headEnd/>
                      <a:tailEnd/>
                    </a:ln>
                  </pic:spPr>
                </pic:pic>
              </a:graphicData>
            </a:graphic>
          </wp:inline>
        </w:drawing>
      </w:r>
    </w:p>
    <w:p w:rsidR="00A1014E" w:rsidRDefault="005902FD" w:rsidP="00B008CE">
      <w:pPr>
        <w:rPr>
          <w:sz w:val="20"/>
          <w:szCs w:val="20"/>
        </w:rPr>
      </w:pPr>
      <w:r w:rsidRPr="005902FD">
        <w:rPr>
          <w:noProof/>
          <w:lang w:eastAsia="en-US"/>
        </w:rPr>
        <w:drawing>
          <wp:inline distT="0" distB="0" distL="0" distR="0">
            <wp:extent cx="5895975" cy="22098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95975" cy="2209800"/>
                    </a:xfrm>
                    <a:prstGeom prst="rect">
                      <a:avLst/>
                    </a:prstGeom>
                    <a:noFill/>
                    <a:ln>
                      <a:noFill/>
                    </a:ln>
                  </pic:spPr>
                </pic:pic>
              </a:graphicData>
            </a:graphic>
          </wp:inline>
        </w:drawing>
      </w:r>
    </w:p>
    <w:p w:rsidR="006366B8" w:rsidRDefault="006366B8" w:rsidP="006366B8">
      <w:pPr>
        <w:jc w:val="both"/>
        <w:rPr>
          <w:sz w:val="19"/>
          <w:szCs w:val="19"/>
        </w:rPr>
      </w:pPr>
      <w:r w:rsidRPr="00A1014E">
        <w:rPr>
          <w:sz w:val="19"/>
          <w:szCs w:val="19"/>
        </w:rPr>
        <w:t xml:space="preserve">This table provides the results of a </w:t>
      </w:r>
      <w:proofErr w:type="spellStart"/>
      <w:r w:rsidRPr="00A1014E">
        <w:rPr>
          <w:sz w:val="19"/>
          <w:szCs w:val="19"/>
        </w:rPr>
        <w:t>logit</w:t>
      </w:r>
      <w:proofErr w:type="spellEnd"/>
      <w:r w:rsidRPr="00A1014E">
        <w:rPr>
          <w:sz w:val="19"/>
          <w:szCs w:val="19"/>
        </w:rPr>
        <w:t xml:space="preserve"> regression of a bank failure indicator variable on bank-specific leverage and risk measures (i.e., including control variables). The primary sample consists of 1,06</w:t>
      </w:r>
      <w:r>
        <w:rPr>
          <w:sz w:val="19"/>
          <w:szCs w:val="19"/>
        </w:rPr>
        <w:t>7</w:t>
      </w:r>
      <w:r w:rsidRPr="00A1014E">
        <w:rPr>
          <w:sz w:val="19"/>
          <w:szCs w:val="19"/>
        </w:rPr>
        <w:t xml:space="preserve"> banks and </w:t>
      </w:r>
      <w:r>
        <w:rPr>
          <w:sz w:val="19"/>
          <w:szCs w:val="19"/>
        </w:rPr>
        <w:t>7,028</w:t>
      </w:r>
      <w:r w:rsidRPr="00A1014E">
        <w:rPr>
          <w:sz w:val="19"/>
          <w:szCs w:val="19"/>
        </w:rPr>
        <w:t xml:space="preserve"> observations from 1997 through 2009, and the variables are as defined in Table 1</w:t>
      </w:r>
      <w:r w:rsidRPr="00A1014E">
        <w:rPr>
          <w:sz w:val="20"/>
          <w:szCs w:val="20"/>
        </w:rPr>
        <w:t xml:space="preserve"> </w:t>
      </w:r>
      <w:r>
        <w:rPr>
          <w:sz w:val="20"/>
          <w:szCs w:val="20"/>
        </w:rPr>
        <w:t>and</w:t>
      </w:r>
      <w:r w:rsidRPr="00D316A8">
        <w:rPr>
          <w:sz w:val="20"/>
          <w:szCs w:val="20"/>
        </w:rPr>
        <w:t xml:space="preserve"> are </w:t>
      </w:r>
      <w:proofErr w:type="spellStart"/>
      <w:r w:rsidRPr="00D316A8">
        <w:rPr>
          <w:sz w:val="20"/>
          <w:szCs w:val="20"/>
        </w:rPr>
        <w:t>winsorized</w:t>
      </w:r>
      <w:proofErr w:type="spellEnd"/>
      <w:r w:rsidRPr="00D316A8">
        <w:rPr>
          <w:sz w:val="20"/>
          <w:szCs w:val="20"/>
        </w:rPr>
        <w:t xml:space="preserve"> at 1% and 99%</w:t>
      </w:r>
      <w:r w:rsidRPr="00A1014E">
        <w:rPr>
          <w:sz w:val="19"/>
          <w:szCs w:val="19"/>
        </w:rPr>
        <w:t>. We repeat the regressions for firms that fail in the next year (within 365 + 92 days), two years ahead (between 458 and 822 days), and three years ahead (between 823 and 1187 days), excluding observations that failed in less time for the later regressions (e.g.</w:t>
      </w:r>
      <w:r w:rsidR="006D5207">
        <w:rPr>
          <w:sz w:val="19"/>
          <w:szCs w:val="19"/>
        </w:rPr>
        <w:t>,</w:t>
      </w:r>
      <w:r w:rsidRPr="00A1014E">
        <w:rPr>
          <w:sz w:val="19"/>
          <w:szCs w:val="19"/>
        </w:rPr>
        <w:t xml:space="preserve"> exclude </w:t>
      </w:r>
      <w:r w:rsidR="005902FD">
        <w:rPr>
          <w:sz w:val="19"/>
          <w:szCs w:val="19"/>
        </w:rPr>
        <w:t xml:space="preserve">an </w:t>
      </w:r>
      <w:r w:rsidRPr="00A1014E">
        <w:rPr>
          <w:sz w:val="19"/>
          <w:szCs w:val="19"/>
        </w:rPr>
        <w:t>observation that fails in the next year when running the two</w:t>
      </w:r>
      <w:r w:rsidR="006D5207">
        <w:rPr>
          <w:sz w:val="19"/>
          <w:szCs w:val="19"/>
        </w:rPr>
        <w:t>-</w:t>
      </w:r>
      <w:r w:rsidRPr="00A1014E">
        <w:rPr>
          <w:sz w:val="19"/>
          <w:szCs w:val="19"/>
        </w:rPr>
        <w:t xml:space="preserve"> and three</w:t>
      </w:r>
      <w:r w:rsidR="006D5207">
        <w:rPr>
          <w:sz w:val="19"/>
          <w:szCs w:val="19"/>
        </w:rPr>
        <w:t>-</w:t>
      </w:r>
      <w:r w:rsidRPr="00A1014E">
        <w:rPr>
          <w:sz w:val="19"/>
          <w:szCs w:val="19"/>
        </w:rPr>
        <w:t>years-ahead regressions). Panels A, B, and C provide the coefficients and t-statistics from regression results for one, two, and three years prior, respectively. In Panel D, we provide the p-values for the statistical significance of the difference between each leverage measure's pseudo R2, based on permutation analysis that constructs the distribution of the pseudo R2s under the null hypothesis of no difference between the leverage measures, as described in Table 7. P-values less than or equal to 0.10 are in bold</w:t>
      </w:r>
      <w:r w:rsidR="00646505">
        <w:rPr>
          <w:sz w:val="19"/>
          <w:szCs w:val="19"/>
        </w:rPr>
        <w:t xml:space="preserve">. </w:t>
      </w:r>
    </w:p>
    <w:p w:rsidR="00147B29" w:rsidRDefault="006366B8" w:rsidP="006366B8">
      <w:pPr>
        <w:jc w:val="both"/>
        <w:rPr>
          <w:sz w:val="19"/>
          <w:szCs w:val="19"/>
        </w:rPr>
        <w:sectPr w:rsidR="00147B29" w:rsidSect="00B3180F">
          <w:pgSz w:w="12240" w:h="15840" w:code="1"/>
          <w:pgMar w:top="1440" w:right="1440" w:bottom="1440" w:left="1440" w:header="720" w:footer="720" w:gutter="0"/>
          <w:cols w:space="720"/>
          <w:docGrid w:linePitch="360"/>
        </w:sectPr>
      </w:pPr>
      <w:r w:rsidRPr="00A1014E">
        <w:rPr>
          <w:sz w:val="19"/>
          <w:szCs w:val="19"/>
        </w:rPr>
        <w:t>*** Significant at the 1% level</w:t>
      </w:r>
      <w:r w:rsidR="00646505">
        <w:rPr>
          <w:sz w:val="19"/>
          <w:szCs w:val="19"/>
        </w:rPr>
        <w:t xml:space="preserve">. </w:t>
      </w:r>
      <w:r w:rsidRPr="00A1014E">
        <w:rPr>
          <w:sz w:val="19"/>
          <w:szCs w:val="19"/>
        </w:rPr>
        <w:t xml:space="preserve">  ** Significant at the 5% level</w:t>
      </w:r>
      <w:r w:rsidR="00646505">
        <w:rPr>
          <w:sz w:val="19"/>
          <w:szCs w:val="19"/>
        </w:rPr>
        <w:t xml:space="preserve">. </w:t>
      </w:r>
      <w:r w:rsidRPr="00A1014E">
        <w:rPr>
          <w:sz w:val="19"/>
          <w:szCs w:val="19"/>
        </w:rPr>
        <w:t xml:space="preserve">      * Significant at the 10% level.</w:t>
      </w:r>
    </w:p>
    <w:p w:rsidR="00147B29" w:rsidRDefault="00147B29" w:rsidP="006366B8">
      <w:pPr>
        <w:jc w:val="both"/>
        <w:rPr>
          <w:sz w:val="19"/>
          <w:szCs w:val="19"/>
        </w:rPr>
      </w:pPr>
      <w:r>
        <w:rPr>
          <w:sz w:val="19"/>
          <w:szCs w:val="19"/>
        </w:rPr>
        <w:lastRenderedPageBreak/>
        <w:t>&lt;</w:t>
      </w:r>
      <w:proofErr w:type="spellStart"/>
      <w:proofErr w:type="gramStart"/>
      <w:r>
        <w:rPr>
          <w:sz w:val="19"/>
          <w:szCs w:val="19"/>
        </w:rPr>
        <w:t>createDate</w:t>
      </w:r>
      <w:proofErr w:type="spellEnd"/>
      <w:r>
        <w:rPr>
          <w:sz w:val="19"/>
          <w:szCs w:val="19"/>
        </w:rPr>
        <w:t>&gt;</w:t>
      </w:r>
      <w:proofErr w:type="gramEnd"/>
      <w:r>
        <w:rPr>
          <w:sz w:val="19"/>
          <w:szCs w:val="19"/>
        </w:rPr>
        <w:t>2010-08-18 00:00:00.000&lt;/</w:t>
      </w:r>
      <w:proofErr w:type="spellStart"/>
      <w:r>
        <w:rPr>
          <w:sz w:val="19"/>
          <w:szCs w:val="19"/>
        </w:rPr>
        <w:t>createDate</w:t>
      </w:r>
      <w:proofErr w:type="spellEnd"/>
      <w:r>
        <w:rPr>
          <w:sz w:val="19"/>
          <w:szCs w:val="19"/>
        </w:rPr>
        <w:t>&gt;</w:t>
      </w:r>
    </w:p>
    <w:p w:rsidR="00147B29" w:rsidRDefault="00147B29" w:rsidP="006366B8">
      <w:pPr>
        <w:jc w:val="both"/>
        <w:rPr>
          <w:sz w:val="19"/>
          <w:szCs w:val="19"/>
        </w:rPr>
      </w:pPr>
      <w:r>
        <w:rPr>
          <w:sz w:val="19"/>
          <w:szCs w:val="19"/>
        </w:rPr>
        <w:t>&lt;</w:t>
      </w:r>
      <w:proofErr w:type="spellStart"/>
      <w:proofErr w:type="gramStart"/>
      <w:r>
        <w:rPr>
          <w:sz w:val="19"/>
          <w:szCs w:val="19"/>
        </w:rPr>
        <w:t>reviseDate</w:t>
      </w:r>
      <w:proofErr w:type="spellEnd"/>
      <w:r>
        <w:rPr>
          <w:sz w:val="19"/>
          <w:szCs w:val="19"/>
        </w:rPr>
        <w:t>&gt;</w:t>
      </w:r>
      <w:proofErr w:type="gramEnd"/>
      <w:r>
        <w:rPr>
          <w:sz w:val="19"/>
          <w:szCs w:val="19"/>
        </w:rPr>
        <w:t>2012-11-21 00:00:00.000&lt;/</w:t>
      </w:r>
      <w:proofErr w:type="spellStart"/>
      <w:r>
        <w:rPr>
          <w:sz w:val="19"/>
          <w:szCs w:val="19"/>
        </w:rPr>
        <w:t>reviseDate</w:t>
      </w:r>
      <w:proofErr w:type="spellEnd"/>
      <w:r>
        <w:rPr>
          <w:sz w:val="19"/>
          <w:szCs w:val="19"/>
        </w:rPr>
        <w:t>&gt;</w:t>
      </w:r>
    </w:p>
    <w:p w:rsidR="00147B29" w:rsidRDefault="00147B29" w:rsidP="006366B8">
      <w:pPr>
        <w:jc w:val="both"/>
        <w:rPr>
          <w:sz w:val="19"/>
          <w:szCs w:val="19"/>
        </w:rPr>
      </w:pPr>
      <w:r>
        <w:rPr>
          <w:sz w:val="19"/>
          <w:szCs w:val="19"/>
        </w:rPr>
        <w:t>&lt;</w:t>
      </w:r>
      <w:proofErr w:type="spellStart"/>
      <w:r>
        <w:rPr>
          <w:sz w:val="19"/>
          <w:szCs w:val="19"/>
        </w:rPr>
        <w:t>doi</w:t>
      </w:r>
      <w:proofErr w:type="spellEnd"/>
      <w:r>
        <w:rPr>
          <w:sz w:val="19"/>
          <w:szCs w:val="19"/>
        </w:rPr>
        <w:t>&gt;10.1354.TAR-2010-0342.1&lt;/</w:t>
      </w:r>
      <w:proofErr w:type="spellStart"/>
      <w:r>
        <w:rPr>
          <w:sz w:val="19"/>
          <w:szCs w:val="19"/>
        </w:rPr>
        <w:t>doi</w:t>
      </w:r>
      <w:proofErr w:type="spellEnd"/>
      <w:r>
        <w:rPr>
          <w:sz w:val="19"/>
          <w:szCs w:val="19"/>
        </w:rPr>
        <w:t>&gt;</w:t>
      </w:r>
    </w:p>
    <w:p w:rsidR="00147B29" w:rsidRDefault="00147B29" w:rsidP="006366B8">
      <w:pPr>
        <w:jc w:val="both"/>
        <w:rPr>
          <w:sz w:val="19"/>
          <w:szCs w:val="19"/>
        </w:rPr>
      </w:pPr>
      <w:r>
        <w:rPr>
          <w:sz w:val="19"/>
          <w:szCs w:val="19"/>
        </w:rPr>
        <w:t>&lt;</w:t>
      </w:r>
      <w:proofErr w:type="spellStart"/>
      <w:proofErr w:type="gramStart"/>
      <w:r>
        <w:rPr>
          <w:sz w:val="19"/>
          <w:szCs w:val="19"/>
        </w:rPr>
        <w:t>finalDecisionDate</w:t>
      </w:r>
      <w:proofErr w:type="spellEnd"/>
      <w:proofErr w:type="gramEnd"/>
      <w:r>
        <w:rPr>
          <w:sz w:val="19"/>
          <w:szCs w:val="19"/>
        </w:rPr>
        <w:t>&gt;&lt;/</w:t>
      </w:r>
      <w:proofErr w:type="spellStart"/>
      <w:r>
        <w:rPr>
          <w:sz w:val="19"/>
          <w:szCs w:val="19"/>
        </w:rPr>
        <w:t>finalDecisionDate</w:t>
      </w:r>
      <w:proofErr w:type="spellEnd"/>
      <w:r>
        <w:rPr>
          <w:sz w:val="19"/>
          <w:szCs w:val="19"/>
        </w:rPr>
        <w:t>&gt;</w:t>
      </w:r>
    </w:p>
    <w:p w:rsidR="00147B29" w:rsidRDefault="00147B29" w:rsidP="006366B8">
      <w:pPr>
        <w:jc w:val="both"/>
        <w:rPr>
          <w:sz w:val="19"/>
          <w:szCs w:val="19"/>
        </w:rPr>
      </w:pPr>
      <w:r>
        <w:rPr>
          <w:sz w:val="19"/>
          <w:szCs w:val="19"/>
        </w:rPr>
        <w:t>&lt;</w:t>
      </w:r>
      <w:proofErr w:type="spellStart"/>
      <w:proofErr w:type="gramStart"/>
      <w:r>
        <w:rPr>
          <w:sz w:val="19"/>
          <w:szCs w:val="19"/>
        </w:rPr>
        <w:t>conflictOfInterest</w:t>
      </w:r>
      <w:proofErr w:type="spellEnd"/>
      <w:proofErr w:type="gramEnd"/>
      <w:r>
        <w:rPr>
          <w:sz w:val="19"/>
          <w:szCs w:val="19"/>
        </w:rPr>
        <w:t>&gt;&lt;/</w:t>
      </w:r>
      <w:proofErr w:type="spellStart"/>
      <w:r>
        <w:rPr>
          <w:sz w:val="19"/>
          <w:szCs w:val="19"/>
        </w:rPr>
        <w:t>conflictOfInterest</w:t>
      </w:r>
      <w:proofErr w:type="spellEnd"/>
      <w:r>
        <w:rPr>
          <w:sz w:val="19"/>
          <w:szCs w:val="19"/>
        </w:rPr>
        <w:t>&gt;</w:t>
      </w:r>
    </w:p>
    <w:p w:rsidR="00147B29" w:rsidRDefault="00147B29" w:rsidP="006366B8">
      <w:pPr>
        <w:jc w:val="both"/>
        <w:rPr>
          <w:sz w:val="19"/>
          <w:szCs w:val="19"/>
        </w:rPr>
      </w:pPr>
      <w:r>
        <w:rPr>
          <w:sz w:val="19"/>
          <w:szCs w:val="19"/>
        </w:rPr>
        <w:t>&lt;</w:t>
      </w:r>
      <w:proofErr w:type="spellStart"/>
      <w:proofErr w:type="gramStart"/>
      <w:r>
        <w:rPr>
          <w:sz w:val="19"/>
          <w:szCs w:val="19"/>
        </w:rPr>
        <w:t>qcCompleteDate</w:t>
      </w:r>
      <w:proofErr w:type="spellEnd"/>
      <w:proofErr w:type="gramEnd"/>
      <w:r>
        <w:rPr>
          <w:sz w:val="19"/>
          <w:szCs w:val="19"/>
        </w:rPr>
        <w:t>&gt;&lt;/</w:t>
      </w:r>
      <w:proofErr w:type="spellStart"/>
      <w:r>
        <w:rPr>
          <w:sz w:val="19"/>
          <w:szCs w:val="19"/>
        </w:rPr>
        <w:t>qcCompleteDate</w:t>
      </w:r>
      <w:proofErr w:type="spellEnd"/>
      <w:r>
        <w:rPr>
          <w:sz w:val="19"/>
          <w:szCs w:val="19"/>
        </w:rPr>
        <w:t>&gt;</w:t>
      </w:r>
    </w:p>
    <w:p w:rsidR="00147B29" w:rsidRDefault="00147B29" w:rsidP="006366B8">
      <w:pPr>
        <w:jc w:val="both"/>
        <w:rPr>
          <w:sz w:val="19"/>
          <w:szCs w:val="19"/>
        </w:rPr>
      </w:pPr>
      <w:r>
        <w:rPr>
          <w:sz w:val="19"/>
          <w:szCs w:val="19"/>
        </w:rPr>
        <w:t>&lt;</w:t>
      </w:r>
      <w:proofErr w:type="spellStart"/>
      <w:proofErr w:type="gramStart"/>
      <w:r>
        <w:rPr>
          <w:sz w:val="19"/>
          <w:szCs w:val="19"/>
        </w:rPr>
        <w:t>approvedDate</w:t>
      </w:r>
      <w:proofErr w:type="spellEnd"/>
      <w:proofErr w:type="gramEnd"/>
      <w:r>
        <w:rPr>
          <w:sz w:val="19"/>
          <w:szCs w:val="19"/>
        </w:rPr>
        <w:t>&gt;&lt;/</w:t>
      </w:r>
      <w:proofErr w:type="spellStart"/>
      <w:r>
        <w:rPr>
          <w:sz w:val="19"/>
          <w:szCs w:val="19"/>
        </w:rPr>
        <w:t>approvedDate</w:t>
      </w:r>
      <w:proofErr w:type="spellEnd"/>
      <w:r>
        <w:rPr>
          <w:sz w:val="19"/>
          <w:szCs w:val="19"/>
        </w:rPr>
        <w:t>&gt;</w:t>
      </w:r>
    </w:p>
    <w:p w:rsidR="00B008CE" w:rsidRPr="00A1014E" w:rsidRDefault="00B008CE" w:rsidP="006366B8">
      <w:pPr>
        <w:jc w:val="both"/>
        <w:rPr>
          <w:sz w:val="19"/>
          <w:szCs w:val="19"/>
        </w:rPr>
      </w:pPr>
    </w:p>
    <w:sectPr w:rsidR="00B008CE" w:rsidRPr="00A1014E" w:rsidSect="00B3180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E3" w:rsidRDefault="009716E3">
      <w:r>
        <w:separator/>
      </w:r>
    </w:p>
  </w:endnote>
  <w:endnote w:type="continuationSeparator" w:id="0">
    <w:p w:rsidR="009716E3" w:rsidRDefault="0097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EDJH O+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5726"/>
      <w:docPartObj>
        <w:docPartGallery w:val="Page Numbers (Bottom of Page)"/>
        <w:docPartUnique/>
      </w:docPartObj>
    </w:sdtPr>
    <w:sdtEndPr/>
    <w:sdtContent>
      <w:p w:rsidR="00C51BF9" w:rsidRDefault="0003534A">
        <w:pPr>
          <w:pStyle w:val="Footer"/>
          <w:jc w:val="center"/>
        </w:pPr>
        <w:r>
          <w:fldChar w:fldCharType="begin"/>
        </w:r>
        <w:r w:rsidR="00C51BF9">
          <w:instrText xml:space="preserve"> PAGE   \* MERGEFORMAT </w:instrText>
        </w:r>
        <w:r>
          <w:fldChar w:fldCharType="separate"/>
        </w:r>
        <w:r w:rsidR="007C14E1">
          <w:rPr>
            <w:noProof/>
          </w:rPr>
          <w:t>1</w:t>
        </w:r>
        <w:r>
          <w:rPr>
            <w:noProof/>
          </w:rPr>
          <w:fldChar w:fldCharType="end"/>
        </w:r>
      </w:p>
    </w:sdtContent>
  </w:sdt>
  <w:p w:rsidR="00C51BF9" w:rsidRDefault="00C51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065223"/>
      <w:docPartObj>
        <w:docPartGallery w:val="Page Numbers (Bottom of Page)"/>
        <w:docPartUnique/>
      </w:docPartObj>
    </w:sdtPr>
    <w:sdtEndPr>
      <w:rPr>
        <w:noProof/>
      </w:rPr>
    </w:sdtEndPr>
    <w:sdtContent>
      <w:p w:rsidR="007C14E1" w:rsidRDefault="0003534A">
        <w:pPr>
          <w:pStyle w:val="Footer"/>
          <w:jc w:val="center"/>
        </w:pPr>
        <w:r>
          <w:fldChar w:fldCharType="begin"/>
        </w:r>
        <w:r w:rsidR="007C14E1">
          <w:instrText xml:space="preserve"> PAGE   \* MERGEFORMAT </w:instrText>
        </w:r>
        <w:r>
          <w:fldChar w:fldCharType="separate"/>
        </w:r>
        <w:r w:rsidR="0088451C">
          <w:rPr>
            <w:noProof/>
          </w:rPr>
          <w:t>54</w:t>
        </w:r>
        <w:r>
          <w:rPr>
            <w:noProof/>
          </w:rPr>
          <w:fldChar w:fldCharType="end"/>
        </w:r>
      </w:p>
    </w:sdtContent>
  </w:sdt>
  <w:p w:rsidR="00C51BF9" w:rsidRDefault="00C51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E3" w:rsidRDefault="009716E3">
      <w:r>
        <w:separator/>
      </w:r>
    </w:p>
  </w:footnote>
  <w:footnote w:type="continuationSeparator" w:id="0">
    <w:p w:rsidR="009716E3" w:rsidRDefault="009716E3">
      <w:r>
        <w:continuationSeparator/>
      </w:r>
    </w:p>
  </w:footnote>
  <w:footnote w:id="1">
    <w:p w:rsidR="00C51BF9" w:rsidRDefault="00C51BF9" w:rsidP="00A84B1D">
      <w:pPr>
        <w:pStyle w:val="FootnoteText"/>
      </w:pPr>
      <w:r>
        <w:rPr>
          <w:rStyle w:val="FootnoteReference"/>
        </w:rPr>
        <w:footnoteRef/>
      </w:r>
      <w:r>
        <w:t xml:space="preserve">The debt financial assets that would be at amortized cost (with an expected loss impairment model) would be those debt instruments with cash flows comprised solely of principal and interest that are being held for the collection of cash flows. </w:t>
      </w:r>
    </w:p>
  </w:footnote>
  <w:footnote w:id="2">
    <w:p w:rsidR="00C51BF9" w:rsidRDefault="00C51BF9">
      <w:pPr>
        <w:pStyle w:val="FootnoteText"/>
      </w:pPr>
      <w:r>
        <w:rPr>
          <w:rStyle w:val="FootnoteReference"/>
        </w:rPr>
        <w:footnoteRef/>
      </w:r>
      <w:r>
        <w:t>For example, when a fixed-rate loan is held-to-maturity, changes in interest rates will not affect the cash flows collected, and therefore the effects of offsetting changes in interest rates and changes in credit risk in fair values may mask relevant changes in the instrument’s credit risk, hindering the ability of fair value to reflect the bank’s credit risk.</w:t>
      </w:r>
    </w:p>
  </w:footnote>
  <w:footnote w:id="3">
    <w:p w:rsidR="00C51BF9" w:rsidRDefault="00C51BF9" w:rsidP="00A47669">
      <w:pPr>
        <w:pStyle w:val="FootnoteText"/>
      </w:pPr>
      <w:r>
        <w:rPr>
          <w:rStyle w:val="FootnoteReference"/>
        </w:rPr>
        <w:footnoteRef/>
      </w:r>
      <w:r>
        <w:t xml:space="preserve">Our fair value leverage ratio incorporates fair value amounts for all financial instruments for which fair values are available within the financial statements and footnotes. We also include an estimate of the fair value of </w:t>
      </w:r>
      <w:r w:rsidRPr="004A43C3">
        <w:t xml:space="preserve">non-term </w:t>
      </w:r>
      <w:r>
        <w:t xml:space="preserve">deposits </w:t>
      </w:r>
      <w:r w:rsidRPr="004A43C3">
        <w:t>using the static discount cash flow approach described by the Office of Thrift Supervision.</w:t>
      </w:r>
      <w:r>
        <w:t xml:space="preserve"> </w:t>
      </w:r>
      <w:r w:rsidRPr="009353A5">
        <w:t>We do not consider banks’ intangible assets</w:t>
      </w:r>
      <w:r>
        <w:t xml:space="preserve"> including the core deposit intangible, which is</w:t>
      </w:r>
      <w:r w:rsidRPr="009353A5">
        <w:t xml:space="preserve"> related to the value of customer relations</w:t>
      </w:r>
      <w:r>
        <w:t>. In addition, we do not include the fair value of property, plant and equipment. See Section III for details. As a result, to a limited extent, the measure does not reflect complete fair value leverage.</w:t>
      </w:r>
    </w:p>
  </w:footnote>
  <w:footnote w:id="4">
    <w:p w:rsidR="00C51BF9" w:rsidRDefault="00C51BF9">
      <w:pPr>
        <w:pStyle w:val="FootnoteText"/>
      </w:pPr>
      <w:r>
        <w:rPr>
          <w:rStyle w:val="FootnoteReference"/>
        </w:rPr>
        <w:footnoteRef/>
      </w:r>
      <w:r>
        <w:t xml:space="preserve">See for example, Barth, Beaver, and Landsman (1996), Eccher, Ramesh, and </w:t>
      </w:r>
      <w:proofErr w:type="spellStart"/>
      <w:r>
        <w:t>Thiagarajan</w:t>
      </w:r>
      <w:proofErr w:type="spellEnd"/>
      <w:r>
        <w:t xml:space="preserve"> (1996), Nelson (1996),</w:t>
      </w:r>
      <w:r w:rsidRPr="00256FB4">
        <w:t xml:space="preserve"> </w:t>
      </w:r>
      <w:r>
        <w:t xml:space="preserve">and </w:t>
      </w:r>
      <w:proofErr w:type="spellStart"/>
      <w:r>
        <w:t>Hodder</w:t>
      </w:r>
      <w:proofErr w:type="spellEnd"/>
      <w:r>
        <w:t xml:space="preserve">, Hopkins, and Wahlen </w:t>
      </w:r>
      <w:r w:rsidRPr="00951158">
        <w:t>(2006)</w:t>
      </w:r>
      <w:r>
        <w:t>. We discuss our incremental contribution to the equity-market-based research in the next section.</w:t>
      </w:r>
    </w:p>
  </w:footnote>
  <w:footnote w:id="5">
    <w:p w:rsidR="00C51BF9" w:rsidRDefault="00C51BF9" w:rsidP="00595E71">
      <w:pPr>
        <w:pStyle w:val="FootnoteText"/>
      </w:pPr>
      <w:r>
        <w:rPr>
          <w:rStyle w:val="FootnoteReference"/>
        </w:rPr>
        <w:footnoteRef/>
      </w:r>
      <w:r>
        <w:t xml:space="preserve">The FASB (2010) Exposure Draft proposed that fair values for financial instruments be measured consistent with an exit price notion as prescribed by ASC 820-10-20 and </w:t>
      </w:r>
      <w:r w:rsidRPr="0020236D">
        <w:t>IFRS 13 (</w:t>
      </w:r>
      <w:r>
        <w:t xml:space="preserve">IASB </w:t>
      </w:r>
      <w:r w:rsidRPr="0020236D">
        <w:t>2011). In</w:t>
      </w:r>
      <w:r>
        <w:t xml:space="preserve"> contrast, the fair values of loans currently are required only to be disclosed under GAAP (ASC 825-10-55-3). Under this disclosure requirement, the fair values of loans, other than certain categories of homogeneous loans, can be estimated at exit price or by discounting the future cash flows using the current rates at which similar loans would be made to borrowers with similar credit ratings and for the same remaining maturities.</w:t>
      </w:r>
      <w:r w:rsidRPr="00BC37A7">
        <w:t xml:space="preserve"> </w:t>
      </w:r>
    </w:p>
  </w:footnote>
  <w:footnote w:id="6">
    <w:p w:rsidR="00C51BF9" w:rsidRDefault="00C51BF9" w:rsidP="00A726F5">
      <w:pPr>
        <w:pStyle w:val="FootnoteText"/>
      </w:pPr>
      <w:r>
        <w:rPr>
          <w:rStyle w:val="FootnoteReference"/>
        </w:rPr>
        <w:footnoteRef/>
      </w:r>
      <w:r w:rsidRPr="003E47E8">
        <w:t>Proponents of fair valuing liabilities point out that even if firms cannot settle their debt prior to maturit</w:t>
      </w:r>
      <w:r>
        <w:t xml:space="preserve">y, the firm can hedge most </w:t>
      </w:r>
      <w:r w:rsidRPr="003E47E8">
        <w:t>risk</w:t>
      </w:r>
      <w:r>
        <w:t>s</w:t>
      </w:r>
      <w:r w:rsidRPr="003E47E8">
        <w:t xml:space="preserve"> embedded in the debt by entering into a swap agreement with </w:t>
      </w:r>
      <w:proofErr w:type="gramStart"/>
      <w:r w:rsidRPr="003E47E8">
        <w:t>a counterparty</w:t>
      </w:r>
      <w:proofErr w:type="gramEnd"/>
      <w:r>
        <w:t xml:space="preserve">. </w:t>
      </w:r>
      <w:r w:rsidRPr="003E47E8">
        <w:t>Because derivative instruments are maintained at fair value, the related liability also should be measured at fair value (Steering Committee on Financial Instruments 1997)</w:t>
      </w:r>
      <w:r>
        <w:t xml:space="preserve">. </w:t>
      </w:r>
      <w:r w:rsidRPr="003E47E8">
        <w:t xml:space="preserve"> </w:t>
      </w:r>
      <w:r>
        <w:t>Furthermore,</w:t>
      </w:r>
      <w:r w:rsidRPr="003E47E8">
        <w:t xml:space="preserve"> Barth et al. (1996) report that the differences between the disclosed fair values and book values of long-term debt are value-relevant </w:t>
      </w:r>
      <w:r>
        <w:t xml:space="preserve">in equity markets </w:t>
      </w:r>
      <w:r w:rsidRPr="003E47E8">
        <w:t>for their sample of banks during 1992-1993</w:t>
      </w:r>
      <w:r>
        <w:t xml:space="preserve">. </w:t>
      </w:r>
      <w:r w:rsidRPr="003E47E8">
        <w:t xml:space="preserve">  </w:t>
      </w:r>
    </w:p>
  </w:footnote>
  <w:footnote w:id="7">
    <w:p w:rsidR="00C51BF9" w:rsidRDefault="00C51BF9" w:rsidP="00A726F5">
      <w:pPr>
        <w:pStyle w:val="FootnoteText"/>
      </w:pPr>
      <w:r>
        <w:rPr>
          <w:rStyle w:val="FootnoteReference"/>
        </w:rPr>
        <w:footnoteRef/>
      </w:r>
      <w:r>
        <w:t xml:space="preserve">Barth, </w:t>
      </w:r>
      <w:proofErr w:type="spellStart"/>
      <w:r>
        <w:t>Hodder</w:t>
      </w:r>
      <w:proofErr w:type="spellEnd"/>
      <w:r>
        <w:t xml:space="preserve">, and </w:t>
      </w:r>
      <w:proofErr w:type="spellStart"/>
      <w:r>
        <w:t>Stubben</w:t>
      </w:r>
      <w:proofErr w:type="spellEnd"/>
      <w:r>
        <w:t xml:space="preserve"> (2008), however, provide evidence that supports such an outcome. Specifically, they find that when a firm’s credit risk rises, its equity returns decline, but that decline is dampened to the extent that the firm has debt outstanding. </w:t>
      </w:r>
    </w:p>
  </w:footnote>
  <w:footnote w:id="8">
    <w:p w:rsidR="00C51BF9" w:rsidRDefault="00C51BF9" w:rsidP="00A726F5">
      <w:pPr>
        <w:pStyle w:val="FootnoteText"/>
      </w:pPr>
      <w:r>
        <w:rPr>
          <w:rStyle w:val="FootnoteReference"/>
        </w:rPr>
        <w:footnoteRef/>
      </w:r>
      <w:r w:rsidRPr="00036863">
        <w:t xml:space="preserve">However, it is not clear </w:t>
      </w:r>
      <w:r>
        <w:t>that the</w:t>
      </w:r>
      <w:r w:rsidRPr="00036863">
        <w:t xml:space="preserve"> fair value of non-term deposits would be useful in assessing credit risk. The estimate of fair value comes from modeling the demand behavior of depositors and from estimates of future interest rates. Because future interest rates may have no bearing on the current credit risk of banks, including the fair value estimate of non-term deposits in leverage potentially add</w:t>
      </w:r>
      <w:r>
        <w:t>s</w:t>
      </w:r>
      <w:r w:rsidRPr="00036863">
        <w:t xml:space="preserve"> noise to the relationship between leverage and credit risk</w:t>
      </w:r>
      <w:r>
        <w:t xml:space="preserve">. </w:t>
      </w:r>
      <w:r w:rsidRPr="00036863">
        <w:t xml:space="preserve">  </w:t>
      </w:r>
    </w:p>
  </w:footnote>
  <w:footnote w:id="9">
    <w:p w:rsidR="00C51BF9" w:rsidRDefault="00C51BF9" w:rsidP="00237E79">
      <w:r>
        <w:rPr>
          <w:rStyle w:val="FootnoteReference"/>
        </w:rPr>
        <w:footnoteRef/>
      </w:r>
      <w:r w:rsidRPr="00D86C18">
        <w:rPr>
          <w:sz w:val="20"/>
          <w:szCs w:val="20"/>
        </w:rPr>
        <w:t>Some recent research has attempted to address this issue. Section 133 of the Emergency Economic Stabilization Act of 2008 required that the United State</w:t>
      </w:r>
      <w:r>
        <w:rPr>
          <w:sz w:val="20"/>
          <w:szCs w:val="20"/>
        </w:rPr>
        <w:t>s</w:t>
      </w:r>
      <w:r w:rsidRPr="00D86C18">
        <w:rPr>
          <w:sz w:val="20"/>
          <w:szCs w:val="20"/>
        </w:rPr>
        <w:t xml:space="preserve"> Securities and Exchange Commission (SEC) study the impact of fair value accounting on banks during the credit crisis and make a recommendation on whether fair value accounting should be suspended</w:t>
      </w:r>
      <w:r>
        <w:rPr>
          <w:sz w:val="20"/>
          <w:szCs w:val="20"/>
        </w:rPr>
        <w:t xml:space="preserve">. </w:t>
      </w:r>
      <w:r w:rsidRPr="00D86C18">
        <w:rPr>
          <w:sz w:val="20"/>
          <w:szCs w:val="20"/>
        </w:rPr>
        <w:t>After an extensive review, the SEC concluded that fair value did not play a significant role in the bank failures and that the fair value standards should not be suspended (</w:t>
      </w:r>
      <w:r>
        <w:rPr>
          <w:sz w:val="20"/>
          <w:szCs w:val="20"/>
        </w:rPr>
        <w:t xml:space="preserve">US </w:t>
      </w:r>
      <w:r w:rsidRPr="00D86C18">
        <w:rPr>
          <w:sz w:val="20"/>
          <w:szCs w:val="20"/>
        </w:rPr>
        <w:t>SEC 2008)</w:t>
      </w:r>
      <w:r>
        <w:rPr>
          <w:sz w:val="20"/>
          <w:szCs w:val="20"/>
        </w:rPr>
        <w:t xml:space="preserve">. </w:t>
      </w:r>
      <w:r w:rsidRPr="00D86C18">
        <w:rPr>
          <w:sz w:val="20"/>
          <w:szCs w:val="20"/>
        </w:rPr>
        <w:t xml:space="preserve">Consistent with this conclusion, a recent working paper from the Federal Reserve Bank of Boston provides evidence using a sample of large banks that suggests that it was not fair value accounting and its potential pro-cyclicality that put stress on the capital requirements of banks in 2008, but instead </w:t>
      </w:r>
      <w:r>
        <w:rPr>
          <w:sz w:val="20"/>
          <w:szCs w:val="20"/>
        </w:rPr>
        <w:t xml:space="preserve">it </w:t>
      </w:r>
      <w:r w:rsidRPr="00D86C18">
        <w:rPr>
          <w:sz w:val="20"/>
          <w:szCs w:val="20"/>
        </w:rPr>
        <w:t>was other more significant factors resulting from lending practices (Shaffer 2010)</w:t>
      </w:r>
      <w:r>
        <w:rPr>
          <w:sz w:val="20"/>
          <w:szCs w:val="20"/>
        </w:rPr>
        <w:t xml:space="preserve">. </w:t>
      </w:r>
      <w:r w:rsidRPr="00D86C18">
        <w:rPr>
          <w:sz w:val="20"/>
          <w:szCs w:val="20"/>
        </w:rPr>
        <w:t xml:space="preserve">Similarly, </w:t>
      </w:r>
      <w:proofErr w:type="spellStart"/>
      <w:r w:rsidRPr="00D86C18">
        <w:rPr>
          <w:sz w:val="20"/>
          <w:szCs w:val="20"/>
        </w:rPr>
        <w:t>Laux</w:t>
      </w:r>
      <w:proofErr w:type="spellEnd"/>
      <w:r w:rsidRPr="00D86C18">
        <w:rPr>
          <w:sz w:val="20"/>
          <w:szCs w:val="20"/>
        </w:rPr>
        <w:t xml:space="preserve"> and </w:t>
      </w:r>
      <w:proofErr w:type="spellStart"/>
      <w:r w:rsidRPr="00D86C18">
        <w:rPr>
          <w:sz w:val="20"/>
          <w:szCs w:val="20"/>
        </w:rPr>
        <w:t>Leuz</w:t>
      </w:r>
      <w:proofErr w:type="spellEnd"/>
      <w:r w:rsidRPr="00D86C18">
        <w:rPr>
          <w:sz w:val="20"/>
          <w:szCs w:val="20"/>
        </w:rPr>
        <w:t xml:space="preserve"> (2010) and </w:t>
      </w:r>
      <w:proofErr w:type="spellStart"/>
      <w:r w:rsidRPr="00D86C18">
        <w:rPr>
          <w:sz w:val="20"/>
          <w:szCs w:val="20"/>
        </w:rPr>
        <w:t>Badertscher</w:t>
      </w:r>
      <w:proofErr w:type="spellEnd"/>
      <w:r w:rsidRPr="00D86C18">
        <w:rPr>
          <w:sz w:val="20"/>
          <w:szCs w:val="20"/>
        </w:rPr>
        <w:t>, Burks, and Easton (2010) provide analyses that suggest that fair value accounting did not play a major role in the financial crisis of 2008</w:t>
      </w:r>
      <w:r w:rsidRPr="004B4BC1">
        <w:rPr>
          <w:sz w:val="20"/>
          <w:szCs w:val="20"/>
        </w:rPr>
        <w:t xml:space="preserve">. </w:t>
      </w:r>
      <w:r>
        <w:rPr>
          <w:sz w:val="20"/>
          <w:szCs w:val="20"/>
        </w:rPr>
        <w:t>On the other hand,</w:t>
      </w:r>
      <w:r w:rsidRPr="004B4BC1">
        <w:rPr>
          <w:sz w:val="20"/>
          <w:szCs w:val="20"/>
        </w:rPr>
        <w:t xml:space="preserve"> theoretical papers </w:t>
      </w:r>
      <w:r>
        <w:rPr>
          <w:sz w:val="20"/>
          <w:szCs w:val="20"/>
        </w:rPr>
        <w:t xml:space="preserve">by Allen and </w:t>
      </w:r>
      <w:proofErr w:type="spellStart"/>
      <w:r>
        <w:rPr>
          <w:sz w:val="20"/>
          <w:szCs w:val="20"/>
        </w:rPr>
        <w:t>Carletti</w:t>
      </w:r>
      <w:proofErr w:type="spellEnd"/>
      <w:r>
        <w:rPr>
          <w:sz w:val="20"/>
          <w:szCs w:val="20"/>
        </w:rPr>
        <w:t xml:space="preserve"> (2008) and </w:t>
      </w:r>
      <w:proofErr w:type="spellStart"/>
      <w:r>
        <w:rPr>
          <w:sz w:val="20"/>
          <w:szCs w:val="20"/>
        </w:rPr>
        <w:t>Plantin</w:t>
      </w:r>
      <w:proofErr w:type="spellEnd"/>
      <w:r>
        <w:rPr>
          <w:sz w:val="20"/>
          <w:szCs w:val="20"/>
        </w:rPr>
        <w:t xml:space="preserve">, </w:t>
      </w:r>
      <w:proofErr w:type="spellStart"/>
      <w:r>
        <w:rPr>
          <w:sz w:val="20"/>
          <w:szCs w:val="20"/>
        </w:rPr>
        <w:t>Sapra</w:t>
      </w:r>
      <w:proofErr w:type="spellEnd"/>
      <w:r>
        <w:rPr>
          <w:sz w:val="20"/>
          <w:szCs w:val="20"/>
        </w:rPr>
        <w:t>, and Shin (</w:t>
      </w:r>
      <w:r w:rsidRPr="004B4BC1">
        <w:rPr>
          <w:sz w:val="20"/>
          <w:szCs w:val="20"/>
        </w:rPr>
        <w:t>2008</w:t>
      </w:r>
      <w:r>
        <w:rPr>
          <w:sz w:val="20"/>
          <w:szCs w:val="20"/>
        </w:rPr>
        <w:t xml:space="preserve">) </w:t>
      </w:r>
      <w:r w:rsidRPr="004B4BC1">
        <w:rPr>
          <w:sz w:val="20"/>
          <w:szCs w:val="20"/>
        </w:rPr>
        <w:t xml:space="preserve">have identified means by which </w:t>
      </w:r>
      <w:r>
        <w:rPr>
          <w:sz w:val="20"/>
          <w:szCs w:val="20"/>
        </w:rPr>
        <w:t>fair value</w:t>
      </w:r>
      <w:r w:rsidRPr="004B4BC1">
        <w:rPr>
          <w:sz w:val="20"/>
          <w:szCs w:val="20"/>
        </w:rPr>
        <w:t xml:space="preserve"> accoun</w:t>
      </w:r>
      <w:r>
        <w:rPr>
          <w:sz w:val="20"/>
          <w:szCs w:val="20"/>
        </w:rPr>
        <w:t xml:space="preserve">ting could be </w:t>
      </w:r>
      <w:proofErr w:type="spellStart"/>
      <w:r>
        <w:rPr>
          <w:sz w:val="20"/>
          <w:szCs w:val="20"/>
        </w:rPr>
        <w:t>procyclical</w:t>
      </w:r>
      <w:proofErr w:type="spellEnd"/>
      <w:r>
        <w:rPr>
          <w:sz w:val="20"/>
          <w:szCs w:val="20"/>
        </w:rPr>
        <w:t>.</w:t>
      </w:r>
    </w:p>
  </w:footnote>
  <w:footnote w:id="10">
    <w:p w:rsidR="00C51BF9" w:rsidRDefault="00C51BF9" w:rsidP="004B04BE">
      <w:pPr>
        <w:pStyle w:val="FootnoteText"/>
      </w:pPr>
      <w:r>
        <w:rPr>
          <w:rStyle w:val="FootnoteReference"/>
        </w:rPr>
        <w:footnoteRef/>
      </w:r>
      <w:r>
        <w:t xml:space="preserve">TED is an </w:t>
      </w:r>
      <w:r w:rsidRPr="006B2558">
        <w:t>acronym</w:t>
      </w:r>
      <w:r>
        <w:t xml:space="preserve"> formed from </w:t>
      </w:r>
      <w:r>
        <w:rPr>
          <w:i/>
          <w:iCs/>
        </w:rPr>
        <w:t>T-Bill</w:t>
      </w:r>
      <w:r>
        <w:t xml:space="preserve"> and </w:t>
      </w:r>
      <w:r>
        <w:rPr>
          <w:i/>
          <w:iCs/>
        </w:rPr>
        <w:t>ED</w:t>
      </w:r>
      <w:r>
        <w:t xml:space="preserve">, the latter of which is the ticker symbol for the Eurodollar futures contract as represented by LIBOR. </w:t>
      </w:r>
      <w:r w:rsidRPr="009D482F">
        <w:t>LIBOR</w:t>
      </w:r>
      <w:r>
        <w:t xml:space="preserve"> denominated</w:t>
      </w:r>
      <w:r w:rsidRPr="009D482F">
        <w:t xml:space="preserve"> in US dollars is calculated by the British Bankers’ Association as the average interest rate that the middle two quartiles of the top 16 world-wide banks believe they would be charged for borrowing unsecured US dollars on a short-term basis in the London wholesale money market</w:t>
      </w:r>
      <w:r>
        <w:t xml:space="preserve">. </w:t>
      </w:r>
      <w:r w:rsidRPr="00860032">
        <w:t>The</w:t>
      </w:r>
      <w:r>
        <w:rPr>
          <w:color w:val="1F497D"/>
        </w:rPr>
        <w:t xml:space="preserve"> </w:t>
      </w:r>
      <w:r>
        <w:t xml:space="preserve">TED spread is usually denominated in </w:t>
      </w:r>
      <w:r w:rsidRPr="006B2558">
        <w:t>basis points</w:t>
      </w:r>
      <w:r>
        <w:t xml:space="preserve"> (bps). For example, if LIBOR is at 5.45</w:t>
      </w:r>
      <w:r w:rsidR="007924A6" w:rsidRPr="007924A6">
        <w:rPr>
          <w:color w:val="000000"/>
        </w:rPr>
        <w:t xml:space="preserve"> </w:t>
      </w:r>
      <w:r w:rsidR="007924A6">
        <w:rPr>
          <w:color w:val="000000"/>
        </w:rPr>
        <w:t>percent</w:t>
      </w:r>
      <w:r>
        <w:t xml:space="preserve"> and the T-bill rate is 5.20</w:t>
      </w:r>
      <w:r w:rsidR="007924A6" w:rsidRPr="007924A6">
        <w:rPr>
          <w:color w:val="000000"/>
        </w:rPr>
        <w:t xml:space="preserve"> </w:t>
      </w:r>
      <w:r w:rsidR="007924A6">
        <w:rPr>
          <w:color w:val="000000"/>
        </w:rPr>
        <w:t>percent</w:t>
      </w:r>
      <w:r>
        <w:t xml:space="preserve">, TED is 25 bps. </w:t>
      </w:r>
    </w:p>
  </w:footnote>
  <w:footnote w:id="11">
    <w:p w:rsidR="00C51BF9" w:rsidRDefault="00C51BF9" w:rsidP="00237E79">
      <w:pPr>
        <w:pStyle w:val="FootnoteText"/>
      </w:pPr>
      <w:r>
        <w:rPr>
          <w:rStyle w:val="FootnoteReference"/>
        </w:rPr>
        <w:footnoteRef/>
      </w:r>
      <w:r>
        <w:t xml:space="preserve">One exception is Barth, Landsman, and Wahlen (1995). Although not the focus of their study, they provide some evidence that fair values of investment securities are better predictors of one-year-ahead violations of regulatory capital requirements, a non-equity-market-based metric. </w:t>
      </w:r>
    </w:p>
  </w:footnote>
  <w:footnote w:id="12">
    <w:p w:rsidR="00C51BF9" w:rsidRDefault="00C51BF9">
      <w:pPr>
        <w:pStyle w:val="FootnoteText"/>
      </w:pPr>
      <w:r>
        <w:rPr>
          <w:rStyle w:val="FootnoteReference"/>
        </w:rPr>
        <w:footnoteRef/>
      </w:r>
      <w:r>
        <w:t xml:space="preserve">A recent working paper by Cantrell, McInnis, and </w:t>
      </w:r>
      <w:proofErr w:type="spellStart"/>
      <w:r>
        <w:t>Yust</w:t>
      </w:r>
      <w:proofErr w:type="spellEnd"/>
      <w:r>
        <w:t xml:space="preserve"> (2011) focuses on the ability of fair value versus GAAP measures of loans to predict credit losses related to borrower default. Results suggest that loan fair values do not better predict one-year ahead loan charge-offs and non-performing loans. In addition, results suggest that fair values of loans do not provide incremental information useful in predicting bank failures one year out. Our study differs for several reasons. First, and of most importance, we provide a more comprehensive assessment of the credit-risk relevance of fair values versus historical costs because we consider all financial instruments not just loans, and we examine this issue using aggregate leverage measures and by disaggregating the leverage measure by type of financial instrument. Second, excluding tests relating to bank failure that are common to both studies, we focus our additional analyses on a more comprehensive entity-level measure of bank credit risk (bond yield spreads), rather than on accounting-based credit-risk measures associated with loans only (loan charge-offs and non-performing loans). Finally, in our bank failure analysis, we examine longer time horizons, and it is in those time periods that fair value is shown to better reflect credit risk when compared to GAAP measures.</w:t>
      </w:r>
    </w:p>
  </w:footnote>
  <w:footnote w:id="13">
    <w:p w:rsidR="00C51BF9" w:rsidRDefault="00C51BF9" w:rsidP="00BC7588">
      <w:r>
        <w:rPr>
          <w:rStyle w:val="FootnoteReference"/>
        </w:rPr>
        <w:footnoteRef/>
      </w:r>
      <w:r w:rsidRPr="00521DF2">
        <w:rPr>
          <w:sz w:val="20"/>
          <w:szCs w:val="20"/>
        </w:rPr>
        <w:t>A limitation of focusing on how a change in total assets would affect equity is that it does not provide information on the probability that such a change in assets will occur. Therefore</w:t>
      </w:r>
      <w:r>
        <w:rPr>
          <w:sz w:val="20"/>
          <w:szCs w:val="20"/>
        </w:rPr>
        <w:t>,</w:t>
      </w:r>
      <w:r w:rsidRPr="00521DF2">
        <w:rPr>
          <w:sz w:val="20"/>
          <w:szCs w:val="20"/>
        </w:rPr>
        <w:t xml:space="preserve"> in 1988 the notion of risk-based capital </w:t>
      </w:r>
      <w:r>
        <w:rPr>
          <w:sz w:val="20"/>
          <w:szCs w:val="20"/>
        </w:rPr>
        <w:t xml:space="preserve">also </w:t>
      </w:r>
      <w:r w:rsidRPr="00521DF2">
        <w:rPr>
          <w:sz w:val="20"/>
          <w:szCs w:val="20"/>
        </w:rPr>
        <w:t>was implemented as part of the Basel Accord</w:t>
      </w:r>
      <w:r>
        <w:rPr>
          <w:sz w:val="20"/>
          <w:szCs w:val="20"/>
        </w:rPr>
        <w:t>. As discussed by the US GAO (2009), regulators in the United States continue to use non-risk-based leverage ratios along with risk-based capital requirements to provide a cushion against risks not explicitly covered in the risk-based capital requirements.</w:t>
      </w:r>
    </w:p>
  </w:footnote>
  <w:footnote w:id="14">
    <w:p w:rsidR="00C51BF9" w:rsidRDefault="00C51BF9" w:rsidP="00DF684D">
      <w:pPr>
        <w:pStyle w:val="FootnoteText"/>
      </w:pPr>
      <w:r>
        <w:rPr>
          <w:rStyle w:val="FootnoteReference"/>
        </w:rPr>
        <w:footnoteRef/>
      </w:r>
      <w:r>
        <w:t xml:space="preserve">See the document titled </w:t>
      </w:r>
      <w:r w:rsidRPr="005E4DD8">
        <w:rPr>
          <w:rFonts w:eastAsia="Times New Roman"/>
          <w:i/>
          <w:iCs/>
          <w:color w:val="000000"/>
        </w:rPr>
        <w:t>Strengthening the Resilience of the Banking Sector</w:t>
      </w:r>
      <w:r w:rsidRPr="00442D78">
        <w:rPr>
          <w:rFonts w:eastAsia="Times New Roman"/>
          <w:color w:val="000000"/>
        </w:rPr>
        <w:t xml:space="preserve"> </w:t>
      </w:r>
      <w:r w:rsidRPr="00432466">
        <w:rPr>
          <w:rFonts w:eastAsia="Times New Roman"/>
          <w:color w:val="000000"/>
        </w:rPr>
        <w:t>at</w:t>
      </w:r>
      <w:r>
        <w:rPr>
          <w:rFonts w:ascii="Lucida Sans Unicode" w:hAnsi="Lucida Sans Unicode" w:cs="Lucida Sans Unicode"/>
          <w:color w:val="000000"/>
          <w:sz w:val="14"/>
          <w:szCs w:val="14"/>
        </w:rPr>
        <w:t xml:space="preserve"> </w:t>
      </w:r>
      <w:hyperlink r:id="rId1" w:history="1">
        <w:r w:rsidRPr="004E4AFD">
          <w:rPr>
            <w:rStyle w:val="Hyperlink"/>
          </w:rPr>
          <w:t>http://www.bis.org/publ/bcbs164.pdf</w:t>
        </w:r>
      </w:hyperlink>
      <w:r>
        <w:t>.</w:t>
      </w:r>
    </w:p>
  </w:footnote>
  <w:footnote w:id="15">
    <w:p w:rsidR="00C51BF9" w:rsidRDefault="00C51BF9" w:rsidP="00567DCB">
      <w:pPr>
        <w:pStyle w:val="FootnoteText"/>
      </w:pPr>
      <w:r>
        <w:rPr>
          <w:rStyle w:val="FootnoteReference"/>
        </w:rPr>
        <w:footnoteRef/>
      </w:r>
      <w:r>
        <w:t>See the OTS website for details of the estimation model (</w:t>
      </w:r>
      <w:hyperlink r:id="rId2" w:history="1">
        <w:r w:rsidR="00F60646" w:rsidRPr="00F43D2A">
          <w:rPr>
            <w:rStyle w:val="Hyperlink"/>
          </w:rPr>
          <w:t>http://www.ots.treas.gov/_files/48461.PDF</w:t>
        </w:r>
      </w:hyperlink>
      <w:r>
        <w:t>). We make several assumptions in performing this calculation, details of which we can provide upon request. Also, we use OTS-provided forward LIBOR rates during the estimation, and because these rates are not provided prior to 1997, we limit our sample to the period starting in 1997. Our bond yield analysis starts in 1998 because we rely on data from the prior year-end.</w:t>
      </w:r>
      <w:r w:rsidRPr="00435783">
        <w:t xml:space="preserve"> </w:t>
      </w:r>
    </w:p>
  </w:footnote>
  <w:footnote w:id="16">
    <w:p w:rsidR="00C51BF9" w:rsidRDefault="00C51BF9">
      <w:pPr>
        <w:pStyle w:val="FootnoteText"/>
      </w:pPr>
      <w:r>
        <w:rPr>
          <w:rStyle w:val="FootnoteReference"/>
        </w:rPr>
        <w:footnoteRef/>
      </w:r>
      <w:r>
        <w:t xml:space="preserve">Besides credit ratings, which we discuss in footnote 25, we are not aware of other bank-specific market-based measures that would serve as a better proxy for bank-specific credit risk. We considered credit default swaps, but the sample of banks with credit default swaps is exceedingly small. We also considered the deposit insurance rates paid by banks to the FDIC but those data are not publicly available.  </w:t>
      </w:r>
    </w:p>
  </w:footnote>
  <w:footnote w:id="17">
    <w:p w:rsidR="00C51BF9" w:rsidRDefault="00C51BF9">
      <w:pPr>
        <w:pStyle w:val="FootnoteText"/>
      </w:pPr>
      <w:r>
        <w:rPr>
          <w:rStyle w:val="FootnoteReference"/>
        </w:rPr>
        <w:footnoteRef/>
      </w:r>
      <w:r>
        <w:t>Inferences are the same, however, if observations from all quarters are used.</w:t>
      </w:r>
    </w:p>
  </w:footnote>
  <w:footnote w:id="18">
    <w:p w:rsidR="00C51BF9" w:rsidRDefault="00C51BF9">
      <w:pPr>
        <w:pStyle w:val="FootnoteText"/>
      </w:pPr>
      <w:r>
        <w:rPr>
          <w:rStyle w:val="FootnoteReference"/>
        </w:rPr>
        <w:footnoteRef/>
      </w:r>
      <w:r>
        <w:t>When we match on monthly maturities rather than annual maturities, inferences are unchanged.</w:t>
      </w:r>
    </w:p>
  </w:footnote>
  <w:footnote w:id="19">
    <w:p w:rsidR="00C51BF9" w:rsidRPr="00AB2293" w:rsidRDefault="00C51BF9">
      <w:pPr>
        <w:pStyle w:val="FootnoteText"/>
      </w:pPr>
      <w:r>
        <w:rPr>
          <w:rStyle w:val="FootnoteReference"/>
        </w:rPr>
        <w:footnoteRef/>
      </w:r>
      <w:r>
        <w:t xml:space="preserve"> We choose to construct observations at the bank-bond-trading day level in order to avoid placing a structure on the variation in yield spread, and we cluster standard errors by bank to account for the repetition of bank-year leverage information. However, as an alternative specification, we reduce the sample to unique bank-bond-year observations (5,165 bank-bond-years) and rerun our main regressions (still clustering standard errors by bank), using three different ways of estimating the yield spread: the average yield spread per bank-bond-year over all days in our sample (i.e., those in the first quarter), the average yield spread over just the first 20 days for each bank-bond-year combination, and the first yield spread available for the given bank-bond-year combination. In all cases, the results are similar. Specifically, the ordering of R</w:t>
      </w:r>
      <w:r w:rsidRPr="00AB31E5">
        <w:rPr>
          <w:vertAlign w:val="superscript"/>
        </w:rPr>
        <w:t>2</w:t>
      </w:r>
      <w:r>
        <w:t xml:space="preserve"> is still </w:t>
      </w:r>
      <w:r>
        <w:rPr>
          <w:b/>
        </w:rPr>
        <w:t>FV</w:t>
      </w:r>
      <w:r w:rsidR="00B06325">
        <w:rPr>
          <w:b/>
        </w:rPr>
        <w:t xml:space="preserve"> </w:t>
      </w:r>
      <w:r>
        <w:t>&gt;</w:t>
      </w:r>
      <w:r w:rsidR="00B06325">
        <w:t xml:space="preserve"> </w:t>
      </w:r>
      <w:r>
        <w:rPr>
          <w:b/>
        </w:rPr>
        <w:t>GAAP</w:t>
      </w:r>
      <w:r w:rsidR="00B06325">
        <w:rPr>
          <w:b/>
        </w:rPr>
        <w:t xml:space="preserve"> </w:t>
      </w:r>
      <w:r>
        <w:t>&gt;</w:t>
      </w:r>
      <w:r w:rsidR="00B06325">
        <w:t xml:space="preserve"> </w:t>
      </w:r>
      <w:r>
        <w:rPr>
          <w:b/>
        </w:rPr>
        <w:t>Tier1</w:t>
      </w:r>
      <w:r>
        <w:t>, with all R</w:t>
      </w:r>
      <w:r w:rsidRPr="00AB31E5">
        <w:rPr>
          <w:vertAlign w:val="superscript"/>
        </w:rPr>
        <w:t>2</w:t>
      </w:r>
      <w:r>
        <w:t xml:space="preserve">s being significantly different from each other except </w:t>
      </w:r>
      <w:r>
        <w:rPr>
          <w:b/>
        </w:rPr>
        <w:t>GAAP</w:t>
      </w:r>
      <w:r>
        <w:t xml:space="preserve"> and </w:t>
      </w:r>
      <w:r>
        <w:rPr>
          <w:b/>
        </w:rPr>
        <w:t>Tier1</w:t>
      </w:r>
      <w:r>
        <w:t xml:space="preserve"> when the yield spread for the first day available is used. </w:t>
      </w:r>
    </w:p>
  </w:footnote>
  <w:footnote w:id="20">
    <w:p w:rsidR="00C51BF9" w:rsidRDefault="00C51BF9" w:rsidP="002C115B">
      <w:pPr>
        <w:pStyle w:val="FootnoteText"/>
      </w:pPr>
      <w:r>
        <w:rPr>
          <w:rStyle w:val="FootnoteReference"/>
        </w:rPr>
        <w:footnoteRef/>
      </w:r>
      <w:r>
        <w:t xml:space="preserve">Beaver et al. (2006) also include a variable that indicates that the issue has credit enhancements in their model. We omit this variable because none of the observations in our sample have credit enhancements. </w:t>
      </w:r>
    </w:p>
  </w:footnote>
  <w:footnote w:id="21">
    <w:p w:rsidR="00C51BF9" w:rsidRPr="00461DC8" w:rsidRDefault="00C51BF9">
      <w:pPr>
        <w:pStyle w:val="FootnoteText"/>
      </w:pPr>
      <w:r>
        <w:rPr>
          <w:rStyle w:val="FootnoteReference"/>
        </w:rPr>
        <w:footnoteRef/>
      </w:r>
      <w:r>
        <w:t xml:space="preserve">An alternative approach is to adjust the GAAP-based financial statement control variables in the </w:t>
      </w:r>
      <w:r w:rsidRPr="007C63C4">
        <w:t>FV</w:t>
      </w:r>
      <w:r>
        <w:t xml:space="preserve"> regression to fair value where possible and leave the control variables unadjusted in the GAAP and Tier1 regressions. In this way, the design is comparing the incremental explanatory power of having all measures at fair value versus GAAP. We choose to adjust only the leverage measures in our main tests in order to keep the focus on the ratio most related to credit risk, but when we adjust the control variables to fair value where possible in the FV regression, we find very similar results. Specifically, we use the log of the fair value of assets and fair value net income divided by the fair value of assets as substitutes for </w:t>
      </w:r>
      <w:proofErr w:type="spellStart"/>
      <w:r>
        <w:rPr>
          <w:i/>
        </w:rPr>
        <w:t>LnAssets</w:t>
      </w:r>
      <w:proofErr w:type="spellEnd"/>
      <w:r>
        <w:t xml:space="preserve"> and </w:t>
      </w:r>
      <w:r>
        <w:rPr>
          <w:i/>
        </w:rPr>
        <w:t>ROA</w:t>
      </w:r>
      <w:r>
        <w:t xml:space="preserve">, respectively. We are not able to reasonably estimate fair values for the remaining control variables. Non-accrual loans, past due </w:t>
      </w:r>
      <w:proofErr w:type="gramStart"/>
      <w:r>
        <w:t>loans,</w:t>
      </w:r>
      <w:proofErr w:type="gramEnd"/>
      <w:r>
        <w:t xml:space="preserve"> and OREO are provided in banks’ call reports at net book value. The absolute maturity gap variable is an interest rate risk measure that is based on assets and liabilities measured at book value, but because of their short-term nature, it is likely that the book value would not be that different from fair value. Using the two additional fair-value-adjusted variables in the fair value regression, our conclusions for the bond yield analyses (both Tables 2 and 4) remain unchanged.</w:t>
      </w:r>
    </w:p>
  </w:footnote>
  <w:footnote w:id="22">
    <w:p w:rsidR="00C51BF9" w:rsidRPr="00894065" w:rsidRDefault="00C51BF9" w:rsidP="001C4496">
      <w:pPr>
        <w:pStyle w:val="FootnoteText"/>
      </w:pPr>
      <w:r>
        <w:rPr>
          <w:rStyle w:val="FootnoteReference"/>
        </w:rPr>
        <w:footnoteRef/>
      </w:r>
      <w:r>
        <w:t xml:space="preserve">As an alternative specification we </w:t>
      </w:r>
      <w:r w:rsidRPr="00014802">
        <w:t xml:space="preserve">replace </w:t>
      </w:r>
      <w:r>
        <w:t xml:space="preserve">bond </w:t>
      </w:r>
      <w:r w:rsidRPr="00014802">
        <w:t>yield spread</w:t>
      </w:r>
      <w:r>
        <w:t>s</w:t>
      </w:r>
      <w:r w:rsidRPr="00014802">
        <w:t xml:space="preserve"> with</w:t>
      </w:r>
      <w:r>
        <w:t xml:space="preserve"> bond</w:t>
      </w:r>
      <w:r w:rsidRPr="00014802">
        <w:t xml:space="preserve"> yield</w:t>
      </w:r>
      <w:r>
        <w:t>s</w:t>
      </w:r>
      <w:r w:rsidRPr="00014802">
        <w:t xml:space="preserve"> and include the treasury rate as an additional </w:t>
      </w:r>
      <w:r>
        <w:t xml:space="preserve">independent </w:t>
      </w:r>
      <w:r w:rsidRPr="00014802">
        <w:t>variable</w:t>
      </w:r>
      <w:r>
        <w:t xml:space="preserve"> to allow the coefficient on the treasury rate to vary from one,</w:t>
      </w:r>
      <w:r w:rsidRPr="00014802">
        <w:t xml:space="preserve"> </w:t>
      </w:r>
      <w:r>
        <w:t>and we obtain similar results</w:t>
      </w:r>
      <w:r w:rsidRPr="00014802">
        <w:t>.</w:t>
      </w:r>
      <w:r>
        <w:t xml:space="preserve"> In addition, we test for incremental explanatory power within the same regression as an alternative to comparing R</w:t>
      </w:r>
      <w:r w:rsidRPr="00AB31E5">
        <w:rPr>
          <w:vertAlign w:val="superscript"/>
        </w:rPr>
        <w:t>2</w:t>
      </w:r>
      <w:r w:rsidRPr="00894065">
        <w:t>s</w:t>
      </w:r>
      <w:r>
        <w:t xml:space="preserve">. Specifically, we run a regression including </w:t>
      </w:r>
      <w:r>
        <w:rPr>
          <w:b/>
        </w:rPr>
        <w:t>GAAP</w:t>
      </w:r>
      <w:r>
        <w:t xml:space="preserve">, the incremental difference between </w:t>
      </w:r>
      <w:r>
        <w:rPr>
          <w:b/>
        </w:rPr>
        <w:t>FV</w:t>
      </w:r>
      <w:r>
        <w:t xml:space="preserve"> and </w:t>
      </w:r>
      <w:r>
        <w:rPr>
          <w:b/>
        </w:rPr>
        <w:t>GAAP</w:t>
      </w:r>
      <w:r>
        <w:t xml:space="preserve">, and the control variables, and we find that the coefficient on the incremental difference of </w:t>
      </w:r>
      <w:r>
        <w:rPr>
          <w:b/>
        </w:rPr>
        <w:t>FV</w:t>
      </w:r>
      <w:r>
        <w:t xml:space="preserve"> over </w:t>
      </w:r>
      <w:r>
        <w:rPr>
          <w:b/>
        </w:rPr>
        <w:t>GAAP</w:t>
      </w:r>
      <w:r>
        <w:t xml:space="preserve"> is positive and statistically significant at the 1</w:t>
      </w:r>
      <w:r w:rsidR="007924A6" w:rsidRPr="007924A6">
        <w:rPr>
          <w:color w:val="000000"/>
        </w:rPr>
        <w:t xml:space="preserve"> </w:t>
      </w:r>
      <w:r w:rsidR="007924A6">
        <w:rPr>
          <w:color w:val="000000"/>
        </w:rPr>
        <w:t>percent</w:t>
      </w:r>
      <w:r>
        <w:t xml:space="preserve"> level. We repeat this test comparing </w:t>
      </w:r>
      <w:r>
        <w:rPr>
          <w:b/>
        </w:rPr>
        <w:t xml:space="preserve">FV </w:t>
      </w:r>
      <w:r>
        <w:t xml:space="preserve">and </w:t>
      </w:r>
      <w:r>
        <w:rPr>
          <w:b/>
        </w:rPr>
        <w:t>Tier1</w:t>
      </w:r>
      <w:r>
        <w:t>, and we again find a positive and statistically significant (1</w:t>
      </w:r>
      <w:r w:rsidR="007924A6" w:rsidRPr="007924A6">
        <w:rPr>
          <w:color w:val="000000"/>
        </w:rPr>
        <w:t xml:space="preserve"> </w:t>
      </w:r>
      <w:r w:rsidR="007924A6">
        <w:rPr>
          <w:color w:val="000000"/>
        </w:rPr>
        <w:t>percent</w:t>
      </w:r>
      <w:r>
        <w:t xml:space="preserve"> level) coefficient on the incremental difference.</w:t>
      </w:r>
    </w:p>
  </w:footnote>
  <w:footnote w:id="23">
    <w:p w:rsidR="00C51BF9" w:rsidRDefault="00C51BF9">
      <w:pPr>
        <w:pStyle w:val="FootnoteText"/>
      </w:pPr>
      <w:r>
        <w:rPr>
          <w:rStyle w:val="FootnoteReference"/>
        </w:rPr>
        <w:footnoteRef/>
      </w:r>
      <w:r>
        <w:t xml:space="preserve">We are puzzled by the </w:t>
      </w:r>
      <w:r w:rsidRPr="00A23372">
        <w:t>observed</w:t>
      </w:r>
      <w:r>
        <w:t xml:space="preserve"> negative relation between </w:t>
      </w:r>
      <w:r w:rsidRPr="00A708AD">
        <w:rPr>
          <w:b/>
        </w:rPr>
        <w:t>TIER1</w:t>
      </w:r>
      <w:r>
        <w:t xml:space="preserve"> and yield spreads. We estimate Pearson Correlations for </w:t>
      </w:r>
      <w:r w:rsidRPr="00A708AD">
        <w:rPr>
          <w:b/>
        </w:rPr>
        <w:t>TIER1</w:t>
      </w:r>
      <w:r>
        <w:t xml:space="preserve"> with our two other leverage ratios and find that they are significantly positive at </w:t>
      </w:r>
      <w:r w:rsidRPr="007C63C4">
        <w:rPr>
          <w:i/>
        </w:rPr>
        <w:t>p</w:t>
      </w:r>
      <w:r>
        <w:t xml:space="preserve"> &lt; 0.01 (consistent with expectations). For our yield sample, the Pearson (Spearman) correlation between </w:t>
      </w:r>
      <w:r w:rsidRPr="00A708AD">
        <w:rPr>
          <w:b/>
        </w:rPr>
        <w:t>TIER1</w:t>
      </w:r>
      <w:r>
        <w:t xml:space="preserve"> and </w:t>
      </w:r>
      <w:r w:rsidRPr="00A708AD">
        <w:rPr>
          <w:b/>
        </w:rPr>
        <w:t>FV</w:t>
      </w:r>
      <w:r>
        <w:t xml:space="preserve"> is 0.07 (0.13) and between </w:t>
      </w:r>
      <w:r w:rsidRPr="00A708AD">
        <w:rPr>
          <w:b/>
        </w:rPr>
        <w:t>TIER1</w:t>
      </w:r>
      <w:r>
        <w:t xml:space="preserve"> and </w:t>
      </w:r>
      <w:r w:rsidRPr="00A708AD">
        <w:rPr>
          <w:b/>
        </w:rPr>
        <w:t>GAAP</w:t>
      </w:r>
      <w:r>
        <w:t xml:space="preserve"> is 0.33 (0.43).</w:t>
      </w:r>
    </w:p>
  </w:footnote>
  <w:footnote w:id="24">
    <w:p w:rsidR="00C51BF9" w:rsidRPr="0066577A" w:rsidRDefault="00C51BF9">
      <w:pPr>
        <w:pStyle w:val="FootnoteText"/>
      </w:pPr>
      <w:r>
        <w:rPr>
          <w:rStyle w:val="FootnoteReference"/>
        </w:rPr>
        <w:footnoteRef/>
      </w:r>
      <w:r>
        <w:t xml:space="preserve">We follow prior literature (e.g. Flannery and </w:t>
      </w:r>
      <w:proofErr w:type="spellStart"/>
      <w:r>
        <w:t>Sorescu</w:t>
      </w:r>
      <w:proofErr w:type="spellEnd"/>
      <w:r>
        <w:t xml:space="preserve"> 1996, Beaver et al. 2006) and estimate a linear model of bond yields. However, as a robustness test, we also estimate an alternate model suggested by Flannery and </w:t>
      </w:r>
      <w:proofErr w:type="spellStart"/>
      <w:r>
        <w:t>Sorescu</w:t>
      </w:r>
      <w:proofErr w:type="spellEnd"/>
      <w:r>
        <w:t xml:space="preserve"> (1996) in which we interact each control variable except assets with the leverage measure and the squared leverage measure.  This nonlinear model yields similar results; the regression with FV-adjusted measures always outperforms the regressions with GAAP or Tier1 measures. As an alternative nonparametric approach, we rerun our original regressions (both univariate and multivariate) using the decile rank of the leverage measures rather than continuous variables. In both cases, the results are similar. Specifically, the explanatory power of the regression with </w:t>
      </w:r>
      <w:r>
        <w:rPr>
          <w:b/>
        </w:rPr>
        <w:t>FV</w:t>
      </w:r>
      <w:r>
        <w:t xml:space="preserve"> dominates the regression with </w:t>
      </w:r>
      <w:r>
        <w:rPr>
          <w:b/>
        </w:rPr>
        <w:t>GAAP,</w:t>
      </w:r>
      <w:r>
        <w:t xml:space="preserve"> which dominates the regression with </w:t>
      </w:r>
      <w:r>
        <w:rPr>
          <w:b/>
        </w:rPr>
        <w:t>Tier1</w:t>
      </w:r>
      <w:r>
        <w:t xml:space="preserve">, and all are statistically different from each other at </w:t>
      </w:r>
      <w:r>
        <w:rPr>
          <w:i/>
        </w:rPr>
        <w:t xml:space="preserve">p </w:t>
      </w:r>
      <w:r>
        <w:t>&lt;</w:t>
      </w:r>
      <w:r w:rsidR="00B06325">
        <w:t xml:space="preserve"> </w:t>
      </w:r>
      <w:r>
        <w:t>0.01.</w:t>
      </w:r>
    </w:p>
  </w:footnote>
  <w:footnote w:id="25">
    <w:p w:rsidR="00C51BF9" w:rsidRPr="00AE1A1D" w:rsidRDefault="00C51BF9" w:rsidP="00AE1A1D">
      <w:pPr>
        <w:pStyle w:val="FootnoteText"/>
      </w:pPr>
      <w:r>
        <w:rPr>
          <w:rStyle w:val="FootnoteReference"/>
        </w:rPr>
        <w:footnoteRef/>
      </w:r>
      <w:r>
        <w:t xml:space="preserve">In supplemental untabulated analyses </w:t>
      </w:r>
      <w:r w:rsidRPr="00C07C5B">
        <w:t xml:space="preserve">we examine the association between credit ratings and </w:t>
      </w:r>
      <w:r>
        <w:t xml:space="preserve">our </w:t>
      </w:r>
      <w:r w:rsidRPr="00C07C5B">
        <w:t>leverage</w:t>
      </w:r>
      <w:r>
        <w:t xml:space="preserve"> measures</w:t>
      </w:r>
      <w:r w:rsidRPr="00C07C5B">
        <w:t xml:space="preserve"> for all banks with credit ratings in the SNL database</w:t>
      </w:r>
      <w:r>
        <w:t xml:space="preserve">. </w:t>
      </w:r>
      <w:r w:rsidRPr="00C07C5B">
        <w:t xml:space="preserve">Although one might argue that a credit rating is the best measure of a bank’s credit risk, </w:t>
      </w:r>
      <w:r>
        <w:t xml:space="preserve">we do not focus on credit ratings because </w:t>
      </w:r>
      <w:r w:rsidRPr="00C07C5B">
        <w:t>there is evidence to suggest that credit ratings are influenced by the incentives of the credit rating agencies</w:t>
      </w:r>
      <w:r>
        <w:t>,</w:t>
      </w:r>
      <w:r w:rsidRPr="00C07C5B">
        <w:t xml:space="preserve"> </w:t>
      </w:r>
      <w:r>
        <w:t xml:space="preserve">introducing potential bias in the ratings, </w:t>
      </w:r>
      <w:r w:rsidRPr="00C07C5B">
        <w:t>and are not timely measures of credit risk</w:t>
      </w:r>
      <w:r>
        <w:t xml:space="preserve"> (Cheng and </w:t>
      </w:r>
      <w:proofErr w:type="spellStart"/>
      <w:r>
        <w:t>Neamtiu</w:t>
      </w:r>
      <w:proofErr w:type="spellEnd"/>
      <w:r>
        <w:t xml:space="preserve"> </w:t>
      </w:r>
      <w:r w:rsidRPr="00C07C5B">
        <w:t>2009</w:t>
      </w:r>
      <w:r>
        <w:t>,</w:t>
      </w:r>
      <w:r w:rsidRPr="00C07C5B">
        <w:rPr>
          <w:sz w:val="24"/>
          <w:szCs w:val="24"/>
        </w:rPr>
        <w:t xml:space="preserve"> </w:t>
      </w:r>
      <w:r w:rsidRPr="00C07C5B">
        <w:t xml:space="preserve">Beaver, </w:t>
      </w:r>
      <w:r>
        <w:t>et al.</w:t>
      </w:r>
      <w:r w:rsidRPr="00C07C5B">
        <w:t xml:space="preserve"> 2006</w:t>
      </w:r>
      <w:r>
        <w:t>,</w:t>
      </w:r>
      <w:r w:rsidRPr="00C07C5B">
        <w:t xml:space="preserve"> </w:t>
      </w:r>
      <w:r>
        <w:t>and</w:t>
      </w:r>
      <w:r w:rsidRPr="00C07C5B">
        <w:t xml:space="preserve"> Bar</w:t>
      </w:r>
      <w:r>
        <w:t>th, et al. 2012).</w:t>
      </w:r>
      <w:r w:rsidRPr="00C07C5B">
        <w:t xml:space="preserve"> </w:t>
      </w:r>
      <w:r w:rsidRPr="004835A9">
        <w:t xml:space="preserve">We use the </w:t>
      </w:r>
      <w:r>
        <w:t xml:space="preserve">year-end </w:t>
      </w:r>
      <w:r w:rsidRPr="004835A9">
        <w:t>S&amp;P rating</w:t>
      </w:r>
      <w:r>
        <w:t>, and we</w:t>
      </w:r>
      <w:r w:rsidRPr="00A41B99">
        <w:t xml:space="preserve"> </w:t>
      </w:r>
      <w:r w:rsidRPr="004835A9">
        <w:t>convert the letter credit rating into a numeri</w:t>
      </w:r>
      <w:r>
        <w:t xml:space="preserve">cal value. </w:t>
      </w:r>
      <w:r w:rsidRPr="004835A9">
        <w:t xml:space="preserve">If the S&amp;P rating is not available, we use the </w:t>
      </w:r>
      <w:r>
        <w:t>Fitch</w:t>
      </w:r>
      <w:r w:rsidRPr="004835A9">
        <w:t xml:space="preserve"> rating, and if </w:t>
      </w:r>
      <w:r>
        <w:t>Fitch</w:t>
      </w:r>
      <w:r w:rsidRPr="004835A9">
        <w:t xml:space="preserve">’s is not available, we use </w:t>
      </w:r>
      <w:r>
        <w:t>Moody’s</w:t>
      </w:r>
      <w:r w:rsidRPr="004835A9">
        <w:t xml:space="preserve">. We run </w:t>
      </w:r>
      <w:r>
        <w:t xml:space="preserve">tests similar to the yield analysis. </w:t>
      </w:r>
      <w:r w:rsidRPr="004835A9">
        <w:t xml:space="preserve">The rank ordering of the explanatory power is </w:t>
      </w:r>
      <w:r w:rsidRPr="004835A9">
        <w:rPr>
          <w:b/>
        </w:rPr>
        <w:t>FV</w:t>
      </w:r>
      <w:r w:rsidRPr="004835A9">
        <w:t xml:space="preserve">, </w:t>
      </w:r>
      <w:r w:rsidRPr="004835A9">
        <w:rPr>
          <w:b/>
        </w:rPr>
        <w:t>GAAP</w:t>
      </w:r>
      <w:r w:rsidRPr="004835A9">
        <w:t xml:space="preserve">, and </w:t>
      </w:r>
      <w:r w:rsidRPr="004835A9">
        <w:rPr>
          <w:b/>
        </w:rPr>
        <w:t>TIER1</w:t>
      </w:r>
      <w:r w:rsidRPr="00AE1A1D">
        <w:t xml:space="preserve"> in both the univariate and multivariate analyses</w:t>
      </w:r>
      <w:r>
        <w:t xml:space="preserve">. In the univariate analysis </w:t>
      </w:r>
      <w:r w:rsidRPr="00AE1A1D">
        <w:rPr>
          <w:b/>
        </w:rPr>
        <w:t>FV</w:t>
      </w:r>
      <w:r w:rsidRPr="004835A9">
        <w:t xml:space="preserve"> dominates </w:t>
      </w:r>
      <w:r w:rsidRPr="004835A9">
        <w:rPr>
          <w:b/>
        </w:rPr>
        <w:t>GAAP</w:t>
      </w:r>
      <w:r w:rsidRPr="004835A9">
        <w:t xml:space="preserve"> at </w:t>
      </w:r>
      <w:r w:rsidRPr="004835A9">
        <w:rPr>
          <w:i/>
        </w:rPr>
        <w:t>p</w:t>
      </w:r>
      <w:r w:rsidR="00B06325">
        <w:rPr>
          <w:i/>
        </w:rPr>
        <w:t xml:space="preserve"> </w:t>
      </w:r>
      <w:r w:rsidRPr="004835A9">
        <w:t>=</w:t>
      </w:r>
      <w:r w:rsidR="00B06325">
        <w:t xml:space="preserve"> </w:t>
      </w:r>
      <w:r w:rsidRPr="004835A9">
        <w:t>0.0</w:t>
      </w:r>
      <w:r>
        <w:t>5</w:t>
      </w:r>
      <w:r w:rsidRPr="004835A9">
        <w:t xml:space="preserve"> and </w:t>
      </w:r>
      <w:r w:rsidRPr="004835A9">
        <w:rPr>
          <w:b/>
        </w:rPr>
        <w:t>GAAP</w:t>
      </w:r>
      <w:r w:rsidRPr="004835A9">
        <w:t xml:space="preserve"> marginally dominates </w:t>
      </w:r>
      <w:r w:rsidRPr="004835A9">
        <w:rPr>
          <w:b/>
        </w:rPr>
        <w:t>TIER1</w:t>
      </w:r>
      <w:r w:rsidRPr="004835A9">
        <w:t xml:space="preserve"> at </w:t>
      </w:r>
      <w:r w:rsidRPr="004835A9">
        <w:rPr>
          <w:i/>
        </w:rPr>
        <w:t>p</w:t>
      </w:r>
      <w:r w:rsidR="00B06325">
        <w:rPr>
          <w:i/>
        </w:rPr>
        <w:t xml:space="preserve"> </w:t>
      </w:r>
      <w:r w:rsidRPr="004835A9">
        <w:t>=</w:t>
      </w:r>
      <w:r w:rsidR="00B06325">
        <w:t xml:space="preserve"> </w:t>
      </w:r>
      <w:r w:rsidRPr="004835A9">
        <w:t>0.</w:t>
      </w:r>
      <w:r>
        <w:t>15</w:t>
      </w:r>
      <w:r w:rsidRPr="004835A9">
        <w:t>.</w:t>
      </w:r>
      <w:r>
        <w:t xml:space="preserve"> In the multivariate analysis, none of the differences in explanatory power are significant at less than the 10</w:t>
      </w:r>
      <w:r w:rsidR="007924A6">
        <w:t xml:space="preserve"> percent </w:t>
      </w:r>
      <w:r>
        <w:t>level.</w:t>
      </w:r>
      <w:r w:rsidRPr="00AE1A1D">
        <w:t xml:space="preserve"> </w:t>
      </w:r>
      <w:proofErr w:type="gramStart"/>
      <w:r>
        <w:t>G</w:t>
      </w:r>
      <w:r w:rsidRPr="00AE1A1D">
        <w:t xml:space="preserve">iven the limited ability </w:t>
      </w:r>
      <w:r>
        <w:t xml:space="preserve">of credit ratings to </w:t>
      </w:r>
      <w:r w:rsidRPr="00AE1A1D">
        <w:t>reflect credit risk</w:t>
      </w:r>
      <w:r>
        <w:t xml:space="preserve"> in a timely and unbiased manner</w:t>
      </w:r>
      <w:r w:rsidRPr="00AE1A1D">
        <w:t xml:space="preserve">, </w:t>
      </w:r>
      <w:r>
        <w:t>the weaker findings in this supplemental analysis does not necessarily call into to question the validity of our conclusions drawn from the bond yield and bank failure analyses.</w:t>
      </w:r>
      <w:proofErr w:type="gramEnd"/>
    </w:p>
    <w:p w:rsidR="00C51BF9" w:rsidRPr="004835A9" w:rsidRDefault="00C51BF9" w:rsidP="004835A9">
      <w:pPr>
        <w:pStyle w:val="FootnoteText"/>
      </w:pPr>
    </w:p>
    <w:p w:rsidR="00C51BF9" w:rsidRPr="00C07C5B" w:rsidRDefault="00C51BF9" w:rsidP="00C07C5B">
      <w:pPr>
        <w:pStyle w:val="FootnoteText"/>
      </w:pPr>
    </w:p>
    <w:p w:rsidR="00C51BF9" w:rsidRDefault="00C51BF9">
      <w:pPr>
        <w:pStyle w:val="FootnoteText"/>
      </w:pPr>
    </w:p>
  </w:footnote>
  <w:footnote w:id="26">
    <w:p w:rsidR="00C51BF9" w:rsidRPr="00A05680" w:rsidRDefault="00C51BF9" w:rsidP="007422B4">
      <w:pPr>
        <w:pStyle w:val="FootnoteText"/>
      </w:pPr>
      <w:r>
        <w:rPr>
          <w:rStyle w:val="FootnoteReference"/>
        </w:rPr>
        <w:footnoteRef/>
      </w:r>
      <w:r>
        <w:t xml:space="preserve"> In the univariate tests, the </w:t>
      </w:r>
      <w:r>
        <w:rPr>
          <w:b/>
        </w:rPr>
        <w:t xml:space="preserve">TIER1 </w:t>
      </w:r>
      <w:r>
        <w:t xml:space="preserve">regressions have significantly less explanatory power than both the </w:t>
      </w:r>
      <w:r>
        <w:rPr>
          <w:b/>
        </w:rPr>
        <w:t xml:space="preserve">FV </w:t>
      </w:r>
      <w:r>
        <w:t xml:space="preserve">and </w:t>
      </w:r>
      <w:r>
        <w:rPr>
          <w:b/>
        </w:rPr>
        <w:t>GAAP</w:t>
      </w:r>
      <w:r>
        <w:t xml:space="preserve"> regressions for both subsamples of banks. In multivariate tests, however, </w:t>
      </w:r>
      <w:r>
        <w:rPr>
          <w:b/>
        </w:rPr>
        <w:t xml:space="preserve">Tier1 </w:t>
      </w:r>
      <w:r>
        <w:t xml:space="preserve">has significantly less explanatory power than </w:t>
      </w:r>
      <w:r>
        <w:rPr>
          <w:b/>
        </w:rPr>
        <w:t>FV</w:t>
      </w:r>
      <w:r>
        <w:t xml:space="preserve">, but it is not statistically different from </w:t>
      </w:r>
      <w:r>
        <w:rPr>
          <w:b/>
        </w:rPr>
        <w:t xml:space="preserve">GAAP </w:t>
      </w:r>
      <w:r>
        <w:t xml:space="preserve">(although as before, the coefficient on </w:t>
      </w:r>
      <w:r>
        <w:rPr>
          <w:b/>
        </w:rPr>
        <w:t>TIER1</w:t>
      </w:r>
      <w:r>
        <w:t xml:space="preserve"> often is negative).</w:t>
      </w:r>
    </w:p>
  </w:footnote>
  <w:footnote w:id="27">
    <w:p w:rsidR="00C51BF9" w:rsidRPr="00AA3065" w:rsidRDefault="00C51BF9" w:rsidP="007422B4">
      <w:pPr>
        <w:pStyle w:val="FootnoteText"/>
      </w:pPr>
      <w:r>
        <w:rPr>
          <w:rStyle w:val="FootnoteReference"/>
        </w:rPr>
        <w:footnoteRef/>
      </w:r>
      <w:r>
        <w:t xml:space="preserve"> </w:t>
      </w:r>
      <w:r w:rsidRPr="00862E3E">
        <w:t>The</w:t>
      </w:r>
      <w:r>
        <w:rPr>
          <w:b/>
        </w:rPr>
        <w:t xml:space="preserve"> </w:t>
      </w:r>
      <w:r>
        <w:t xml:space="preserve">explanatory power of the </w:t>
      </w:r>
      <w:r>
        <w:rPr>
          <w:b/>
        </w:rPr>
        <w:t xml:space="preserve">TIER1 </w:t>
      </w:r>
      <w:r>
        <w:t xml:space="preserve">models are statistically significantly less than </w:t>
      </w:r>
      <w:r>
        <w:rPr>
          <w:b/>
        </w:rPr>
        <w:t xml:space="preserve">FV </w:t>
      </w:r>
      <w:r>
        <w:t xml:space="preserve">and </w:t>
      </w:r>
      <w:r>
        <w:rPr>
          <w:b/>
        </w:rPr>
        <w:t xml:space="preserve">GAAP </w:t>
      </w:r>
      <w:r w:rsidRPr="00A13FDA">
        <w:t>models</w:t>
      </w:r>
      <w:r>
        <w:rPr>
          <w:b/>
        </w:rPr>
        <w:t xml:space="preserve"> </w:t>
      </w:r>
      <w:r>
        <w:t xml:space="preserve">in all cases except for the multivariate analysis in the expansionary period. Also, similar to the main results, the coefficient on </w:t>
      </w:r>
      <w:r>
        <w:rPr>
          <w:b/>
        </w:rPr>
        <w:t xml:space="preserve">TIER1 </w:t>
      </w:r>
      <w:r>
        <w:t>is almost always negative.</w:t>
      </w:r>
    </w:p>
  </w:footnote>
  <w:footnote w:id="28">
    <w:p w:rsidR="00C51BF9" w:rsidRDefault="00C51BF9" w:rsidP="004A4B8D">
      <w:pPr>
        <w:pStyle w:val="FootnoteText"/>
      </w:pPr>
      <w:r>
        <w:rPr>
          <w:rStyle w:val="FootnoteReference"/>
        </w:rPr>
        <w:footnoteRef/>
      </w:r>
      <w:r>
        <w:t>For example, if five banks failed in the first decile of banks, and an additional four banks failed in the second decile of banks, the cumulative number of failed banks would be five for the first decile and nine for the second decile.</w:t>
      </w:r>
    </w:p>
  </w:footnote>
  <w:footnote w:id="29">
    <w:p w:rsidR="00C51BF9" w:rsidRDefault="00C51BF9" w:rsidP="004A4B8D">
      <w:pPr>
        <w:pStyle w:val="FootnoteText"/>
      </w:pPr>
      <w:r>
        <w:rPr>
          <w:rStyle w:val="FootnoteReference"/>
        </w:rPr>
        <w:footnoteRef/>
      </w:r>
      <w:r>
        <w:t xml:space="preserve">Specifically, we calculate the area under each plotline (scaled by the total number of failures) using the following formula based on the area of a trapezoid: </w:t>
      </w:r>
      <w:r w:rsidRPr="00CF3253">
        <w:rPr>
          <w:rFonts w:hint="eastAsia"/>
        </w:rPr>
        <w:t>∑</w:t>
      </w:r>
      <w:proofErr w:type="gramStart"/>
      <w:r w:rsidRPr="00CF3253">
        <w:rPr>
          <w:rFonts w:hint="eastAsia"/>
          <w:vertAlign w:val="superscript"/>
        </w:rPr>
        <w:t>9</w:t>
      </w:r>
      <w:r w:rsidRPr="00CF3253">
        <w:rPr>
          <w:rFonts w:hint="eastAsia"/>
          <w:vertAlign w:val="subscript"/>
        </w:rPr>
        <w:t>(</w:t>
      </w:r>
      <w:proofErr w:type="gramEnd"/>
      <w:r w:rsidRPr="00CF3253">
        <w:rPr>
          <w:rFonts w:hint="eastAsia"/>
          <w:vertAlign w:val="subscript"/>
        </w:rPr>
        <w:t>m=1)</w:t>
      </w:r>
      <w:r w:rsidRPr="00CF3253">
        <w:rPr>
          <w:rFonts w:hint="eastAsia"/>
        </w:rPr>
        <w:t>(Cum</w:t>
      </w:r>
      <w:r>
        <w:t xml:space="preserve">ulative </w:t>
      </w:r>
      <w:proofErr w:type="spellStart"/>
      <w:r>
        <w:t>Failures</w:t>
      </w:r>
      <w:r w:rsidRPr="00CF3253">
        <w:rPr>
          <w:rFonts w:hint="eastAsia"/>
          <w:vertAlign w:val="subscript"/>
        </w:rPr>
        <w:t>m</w:t>
      </w:r>
      <w:proofErr w:type="spellEnd"/>
      <w:r w:rsidRPr="00CF3253">
        <w:rPr>
          <w:rFonts w:hint="eastAsia"/>
        </w:rPr>
        <w:t>/</w:t>
      </w:r>
      <w:r w:rsidRPr="00CF3253">
        <w:t>Cum</w:t>
      </w:r>
      <w:r>
        <w:t>ulative Failures</w:t>
      </w:r>
      <w:r w:rsidRPr="00CF3253">
        <w:rPr>
          <w:rFonts w:hint="eastAsia"/>
          <w:vertAlign w:val="subscript"/>
        </w:rPr>
        <w:t>10</w:t>
      </w:r>
      <w:r w:rsidRPr="00CF3253">
        <w:rPr>
          <w:rFonts w:hint="eastAsia"/>
        </w:rPr>
        <w:t xml:space="preserve"> ) +1/2</w:t>
      </w:r>
      <w:r>
        <w:t>. We repeat this procedure for bank failure one year ahead, two years ahead, and three years ahead, excluding bank-observations that fail sooner than two or three years forward for the respective procedures.</w:t>
      </w:r>
    </w:p>
  </w:footnote>
  <w:footnote w:id="30">
    <w:p w:rsidR="00C51BF9" w:rsidRDefault="00C51BF9" w:rsidP="004A4B8D">
      <w:pPr>
        <w:pStyle w:val="FootnoteText"/>
      </w:pPr>
      <w:r>
        <w:rPr>
          <w:rStyle w:val="FootnoteReference"/>
        </w:rPr>
        <w:footnoteRef/>
      </w:r>
      <w:r>
        <w:t>To perform the permutation analysis, we construct a distribution of the FPA metrics under the null hypothesis of no difference in FPA across the leverage measures. Specifically, we randomly shuffle the assignment of which bank observations failed, construct the FPA metrics again, and repeat the process 1,000 times. We then construct p-values as the number of times the shuffled absolute difference between each pair is equal to or larger than the actual absolute difference between each pair, divided by 1,000.</w:t>
      </w:r>
    </w:p>
  </w:footnote>
  <w:footnote w:id="31">
    <w:p w:rsidR="00C51BF9" w:rsidRDefault="00C51BF9" w:rsidP="004A4B8D">
      <w:pPr>
        <w:pStyle w:val="FootnoteText"/>
      </w:pPr>
      <w:r>
        <w:rPr>
          <w:rStyle w:val="FootnoteReference"/>
        </w:rPr>
        <w:footnoteRef/>
      </w:r>
      <w:r>
        <w:t xml:space="preserve">In our bank failure sample, the correlation between </w:t>
      </w:r>
      <w:r w:rsidRPr="00A708AD">
        <w:rPr>
          <w:b/>
        </w:rPr>
        <w:t>TIER1</w:t>
      </w:r>
      <w:r>
        <w:t xml:space="preserve"> and </w:t>
      </w:r>
      <w:r w:rsidRPr="00A708AD">
        <w:rPr>
          <w:b/>
        </w:rPr>
        <w:t>FV</w:t>
      </w:r>
      <w:r>
        <w:t xml:space="preserve"> is 0.54 and between </w:t>
      </w:r>
      <w:r w:rsidRPr="00A708AD">
        <w:rPr>
          <w:b/>
        </w:rPr>
        <w:t>TIER1</w:t>
      </w:r>
      <w:r>
        <w:t xml:space="preserve"> and </w:t>
      </w:r>
      <w:r w:rsidRPr="00A708AD">
        <w:rPr>
          <w:b/>
        </w:rPr>
        <w:t>GAAP</w:t>
      </w:r>
      <w:r>
        <w:t xml:space="preserve"> is 0.73. </w:t>
      </w:r>
    </w:p>
  </w:footnote>
  <w:footnote w:id="32">
    <w:p w:rsidR="00C51BF9" w:rsidRDefault="00C51BF9" w:rsidP="004A4B8D">
      <w:pPr>
        <w:pStyle w:val="FootnoteText"/>
      </w:pPr>
      <w:r>
        <w:rPr>
          <w:rStyle w:val="FootnoteReference"/>
        </w:rPr>
        <w:footnoteRef/>
      </w:r>
      <w:r>
        <w:t xml:space="preserve"> We </w:t>
      </w:r>
      <w:r w:rsidRPr="00F05DE6">
        <w:rPr>
          <w:color w:val="000000"/>
        </w:rPr>
        <w:t xml:space="preserve">do not perform </w:t>
      </w:r>
      <w:r>
        <w:rPr>
          <w:color w:val="000000"/>
        </w:rPr>
        <w:t xml:space="preserve">cross-sectional </w:t>
      </w:r>
      <w:r w:rsidRPr="00F05DE6">
        <w:rPr>
          <w:color w:val="000000"/>
        </w:rPr>
        <w:t>analys</w:t>
      </w:r>
      <w:r>
        <w:rPr>
          <w:color w:val="000000"/>
        </w:rPr>
        <w:t>e</w:t>
      </w:r>
      <w:r w:rsidRPr="00F05DE6">
        <w:rPr>
          <w:color w:val="000000"/>
        </w:rPr>
        <w:t xml:space="preserve">s of the </w:t>
      </w:r>
      <w:r>
        <w:rPr>
          <w:color w:val="000000"/>
        </w:rPr>
        <w:t xml:space="preserve">incremental explanatory power of the </w:t>
      </w:r>
      <w:r w:rsidRPr="00F05DE6">
        <w:rPr>
          <w:color w:val="000000"/>
        </w:rPr>
        <w:t xml:space="preserve">various </w:t>
      </w:r>
      <w:r>
        <w:rPr>
          <w:color w:val="000000"/>
        </w:rPr>
        <w:t xml:space="preserve">types of </w:t>
      </w:r>
      <w:r w:rsidRPr="00F05DE6">
        <w:rPr>
          <w:color w:val="000000"/>
        </w:rPr>
        <w:t>financial instrument</w:t>
      </w:r>
      <w:r>
        <w:rPr>
          <w:color w:val="000000"/>
        </w:rPr>
        <w:t>s</w:t>
      </w:r>
      <w:r w:rsidRPr="00F05DE6">
        <w:rPr>
          <w:color w:val="000000"/>
        </w:rPr>
        <w:t xml:space="preserve"> on our bank failure </w:t>
      </w:r>
      <w:r>
        <w:rPr>
          <w:color w:val="000000"/>
        </w:rPr>
        <w:t>sample as we did on our yield spread sample</w:t>
      </w:r>
      <w:r w:rsidRPr="00F05DE6">
        <w:rPr>
          <w:color w:val="000000"/>
        </w:rPr>
        <w:t xml:space="preserve"> because we only have the fair value adjustments by financial instrument </w:t>
      </w:r>
      <w:r>
        <w:rPr>
          <w:color w:val="000000"/>
        </w:rPr>
        <w:t>types</w:t>
      </w:r>
      <w:r w:rsidRPr="00F05DE6">
        <w:rPr>
          <w:color w:val="000000"/>
        </w:rPr>
        <w:t xml:space="preserve"> for </w:t>
      </w:r>
      <w:r>
        <w:rPr>
          <w:color w:val="000000"/>
        </w:rPr>
        <w:t>four</w:t>
      </w:r>
      <w:r w:rsidRPr="00F05DE6">
        <w:rPr>
          <w:color w:val="000000"/>
        </w:rPr>
        <w:t xml:space="preserve"> of our</w:t>
      </w:r>
      <w:r>
        <w:rPr>
          <w:color w:val="000000"/>
        </w:rPr>
        <w:t xml:space="preserve"> 53</w:t>
      </w:r>
      <w:r w:rsidRPr="00F05DE6">
        <w:rPr>
          <w:color w:val="000000"/>
        </w:rPr>
        <w:t xml:space="preserve"> failed banks.</w:t>
      </w:r>
      <w:r>
        <w:rPr>
          <w:color w:val="000000"/>
        </w:rPr>
        <w:t xml:space="preserve"> In addition, we do not report whether the bank failure results differ for more or less complex banks or in expansionary or recessionary periods because we lack sufficient power in these tests to rely on inferences. In particular, the vast majority (greater than 80</w:t>
      </w:r>
      <w:r w:rsidR="007924A6" w:rsidRPr="007924A6">
        <w:rPr>
          <w:color w:val="000000"/>
        </w:rPr>
        <w:t xml:space="preserve"> </w:t>
      </w:r>
      <w:r w:rsidR="007924A6">
        <w:rPr>
          <w:color w:val="000000"/>
        </w:rPr>
        <w:t>percent</w:t>
      </w:r>
      <w:r>
        <w:rPr>
          <w:color w:val="000000"/>
        </w:rPr>
        <w:t>) of the 53 bank failures w</w:t>
      </w:r>
      <w:r w:rsidR="00A46DC0">
        <w:rPr>
          <w:color w:val="000000"/>
        </w:rPr>
        <w:t>as</w:t>
      </w:r>
      <w:r>
        <w:rPr>
          <w:color w:val="000000"/>
        </w:rPr>
        <w:t xml:space="preserve"> for banks with more traditional books of business, in the form of high loan-to-asset ratios, and all but one of the failures occurred in the recessionary time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A9A"/>
    <w:multiLevelType w:val="hybridMultilevel"/>
    <w:tmpl w:val="BEEAA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3A2D68"/>
    <w:multiLevelType w:val="hybridMultilevel"/>
    <w:tmpl w:val="57F6148C"/>
    <w:lvl w:ilvl="0" w:tplc="B6682712">
      <w:start w:val="1"/>
      <w:numFmt w:val="upperRoman"/>
      <w:lvlText w:val="%1."/>
      <w:lvlJc w:val="left"/>
      <w:pPr>
        <w:tabs>
          <w:tab w:val="num" w:pos="900"/>
        </w:tabs>
        <w:ind w:left="900" w:hanging="72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nsid w:val="106069C9"/>
    <w:multiLevelType w:val="hybridMultilevel"/>
    <w:tmpl w:val="1DA48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D1FB3"/>
    <w:multiLevelType w:val="hybridMultilevel"/>
    <w:tmpl w:val="97CC0956"/>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6DA3EEA"/>
    <w:multiLevelType w:val="multilevel"/>
    <w:tmpl w:val="BEA8C1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3853EDD"/>
    <w:multiLevelType w:val="hybridMultilevel"/>
    <w:tmpl w:val="3DDEF920"/>
    <w:lvl w:ilvl="0" w:tplc="6B96D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0984EB0"/>
    <w:multiLevelType w:val="multilevel"/>
    <w:tmpl w:val="E7B827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43924D0"/>
    <w:multiLevelType w:val="hybridMultilevel"/>
    <w:tmpl w:val="F51AA936"/>
    <w:lvl w:ilvl="0" w:tplc="ED7A14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DE58FF"/>
    <w:multiLevelType w:val="multilevel"/>
    <w:tmpl w:val="10D4F0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B635256"/>
    <w:multiLevelType w:val="hybridMultilevel"/>
    <w:tmpl w:val="75582ECC"/>
    <w:lvl w:ilvl="0" w:tplc="199E227C">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9"/>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6"/>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02"/>
    <w:rsid w:val="00000755"/>
    <w:rsid w:val="00000A0A"/>
    <w:rsid w:val="00000FF2"/>
    <w:rsid w:val="0000121B"/>
    <w:rsid w:val="000019C3"/>
    <w:rsid w:val="00001E02"/>
    <w:rsid w:val="0000210B"/>
    <w:rsid w:val="00002239"/>
    <w:rsid w:val="000023E4"/>
    <w:rsid w:val="000027BF"/>
    <w:rsid w:val="0000291B"/>
    <w:rsid w:val="00002A47"/>
    <w:rsid w:val="00002E90"/>
    <w:rsid w:val="00003413"/>
    <w:rsid w:val="00003619"/>
    <w:rsid w:val="00003E12"/>
    <w:rsid w:val="0000414A"/>
    <w:rsid w:val="00004234"/>
    <w:rsid w:val="0000423A"/>
    <w:rsid w:val="000042CA"/>
    <w:rsid w:val="00004AA9"/>
    <w:rsid w:val="00004F7F"/>
    <w:rsid w:val="000052DB"/>
    <w:rsid w:val="000057C3"/>
    <w:rsid w:val="00005A2D"/>
    <w:rsid w:val="00005A6B"/>
    <w:rsid w:val="00005F74"/>
    <w:rsid w:val="0000647B"/>
    <w:rsid w:val="000065D0"/>
    <w:rsid w:val="00006670"/>
    <w:rsid w:val="000067A0"/>
    <w:rsid w:val="000067E9"/>
    <w:rsid w:val="00006915"/>
    <w:rsid w:val="00006B1F"/>
    <w:rsid w:val="00006B4E"/>
    <w:rsid w:val="00006D99"/>
    <w:rsid w:val="00006E71"/>
    <w:rsid w:val="000070C0"/>
    <w:rsid w:val="000071D2"/>
    <w:rsid w:val="00007253"/>
    <w:rsid w:val="00007840"/>
    <w:rsid w:val="00007A3C"/>
    <w:rsid w:val="00007BE5"/>
    <w:rsid w:val="00007D1D"/>
    <w:rsid w:val="00007DC5"/>
    <w:rsid w:val="0001028C"/>
    <w:rsid w:val="000102AE"/>
    <w:rsid w:val="000109A0"/>
    <w:rsid w:val="00010B33"/>
    <w:rsid w:val="00010E01"/>
    <w:rsid w:val="00010FD8"/>
    <w:rsid w:val="0001100F"/>
    <w:rsid w:val="000110AA"/>
    <w:rsid w:val="00011178"/>
    <w:rsid w:val="000113D0"/>
    <w:rsid w:val="000115A6"/>
    <w:rsid w:val="00011736"/>
    <w:rsid w:val="0001179A"/>
    <w:rsid w:val="00011A0D"/>
    <w:rsid w:val="00011E57"/>
    <w:rsid w:val="00012D88"/>
    <w:rsid w:val="00013362"/>
    <w:rsid w:val="00013410"/>
    <w:rsid w:val="00013516"/>
    <w:rsid w:val="0001371D"/>
    <w:rsid w:val="00013836"/>
    <w:rsid w:val="000138E9"/>
    <w:rsid w:val="00013B4A"/>
    <w:rsid w:val="00013CA3"/>
    <w:rsid w:val="00013DD1"/>
    <w:rsid w:val="00014327"/>
    <w:rsid w:val="000143B6"/>
    <w:rsid w:val="000144B6"/>
    <w:rsid w:val="00014802"/>
    <w:rsid w:val="00014D19"/>
    <w:rsid w:val="000150B2"/>
    <w:rsid w:val="000150CF"/>
    <w:rsid w:val="00015125"/>
    <w:rsid w:val="0001517A"/>
    <w:rsid w:val="000157C7"/>
    <w:rsid w:val="000157D6"/>
    <w:rsid w:val="00015870"/>
    <w:rsid w:val="00015934"/>
    <w:rsid w:val="00015BF5"/>
    <w:rsid w:val="00015E85"/>
    <w:rsid w:val="00015EA1"/>
    <w:rsid w:val="00015F3C"/>
    <w:rsid w:val="0001644B"/>
    <w:rsid w:val="000164C8"/>
    <w:rsid w:val="00016A3F"/>
    <w:rsid w:val="00016A60"/>
    <w:rsid w:val="00016C8D"/>
    <w:rsid w:val="0001709D"/>
    <w:rsid w:val="000175EF"/>
    <w:rsid w:val="000176D6"/>
    <w:rsid w:val="0001785C"/>
    <w:rsid w:val="0001790F"/>
    <w:rsid w:val="00017DC2"/>
    <w:rsid w:val="000200A3"/>
    <w:rsid w:val="000201D8"/>
    <w:rsid w:val="000204F4"/>
    <w:rsid w:val="0002071C"/>
    <w:rsid w:val="00020742"/>
    <w:rsid w:val="000207C5"/>
    <w:rsid w:val="00021136"/>
    <w:rsid w:val="000215B6"/>
    <w:rsid w:val="000216BB"/>
    <w:rsid w:val="00021B63"/>
    <w:rsid w:val="00021FF0"/>
    <w:rsid w:val="00022290"/>
    <w:rsid w:val="000227D6"/>
    <w:rsid w:val="00023389"/>
    <w:rsid w:val="00023430"/>
    <w:rsid w:val="00023946"/>
    <w:rsid w:val="0002395B"/>
    <w:rsid w:val="0002399E"/>
    <w:rsid w:val="00023A2F"/>
    <w:rsid w:val="00023C4F"/>
    <w:rsid w:val="00023E6A"/>
    <w:rsid w:val="00023F4F"/>
    <w:rsid w:val="0002408B"/>
    <w:rsid w:val="00024102"/>
    <w:rsid w:val="000241D7"/>
    <w:rsid w:val="000241F7"/>
    <w:rsid w:val="000244E1"/>
    <w:rsid w:val="00024745"/>
    <w:rsid w:val="00024B38"/>
    <w:rsid w:val="00024B94"/>
    <w:rsid w:val="00024D74"/>
    <w:rsid w:val="000251BD"/>
    <w:rsid w:val="00025A17"/>
    <w:rsid w:val="00025AAE"/>
    <w:rsid w:val="00025EF7"/>
    <w:rsid w:val="00025F14"/>
    <w:rsid w:val="000261BC"/>
    <w:rsid w:val="00026359"/>
    <w:rsid w:val="000264DA"/>
    <w:rsid w:val="000266F2"/>
    <w:rsid w:val="00026A6C"/>
    <w:rsid w:val="00026DC1"/>
    <w:rsid w:val="00026DF7"/>
    <w:rsid w:val="00027451"/>
    <w:rsid w:val="000275B1"/>
    <w:rsid w:val="00027B1B"/>
    <w:rsid w:val="00027EFD"/>
    <w:rsid w:val="00030539"/>
    <w:rsid w:val="000306ED"/>
    <w:rsid w:val="0003098B"/>
    <w:rsid w:val="000309D4"/>
    <w:rsid w:val="00030A9F"/>
    <w:rsid w:val="00030AE7"/>
    <w:rsid w:val="0003116C"/>
    <w:rsid w:val="0003118E"/>
    <w:rsid w:val="00031267"/>
    <w:rsid w:val="0003128B"/>
    <w:rsid w:val="000312C4"/>
    <w:rsid w:val="00031662"/>
    <w:rsid w:val="00031703"/>
    <w:rsid w:val="0003193E"/>
    <w:rsid w:val="00031A85"/>
    <w:rsid w:val="00031B47"/>
    <w:rsid w:val="00031CB3"/>
    <w:rsid w:val="000326A8"/>
    <w:rsid w:val="000327C1"/>
    <w:rsid w:val="00032A8E"/>
    <w:rsid w:val="00032D5C"/>
    <w:rsid w:val="00032E20"/>
    <w:rsid w:val="00032E94"/>
    <w:rsid w:val="00032FDF"/>
    <w:rsid w:val="00033148"/>
    <w:rsid w:val="00033157"/>
    <w:rsid w:val="0003356F"/>
    <w:rsid w:val="00033638"/>
    <w:rsid w:val="00033EB9"/>
    <w:rsid w:val="0003461A"/>
    <w:rsid w:val="0003534A"/>
    <w:rsid w:val="000353F3"/>
    <w:rsid w:val="00035588"/>
    <w:rsid w:val="0003585A"/>
    <w:rsid w:val="00036477"/>
    <w:rsid w:val="0003697F"/>
    <w:rsid w:val="00036F57"/>
    <w:rsid w:val="000373CE"/>
    <w:rsid w:val="0003740D"/>
    <w:rsid w:val="000375D1"/>
    <w:rsid w:val="00037761"/>
    <w:rsid w:val="00037B00"/>
    <w:rsid w:val="00037CC2"/>
    <w:rsid w:val="00037F00"/>
    <w:rsid w:val="000400FE"/>
    <w:rsid w:val="000403FD"/>
    <w:rsid w:val="00040402"/>
    <w:rsid w:val="0004045A"/>
    <w:rsid w:val="00040545"/>
    <w:rsid w:val="000409EC"/>
    <w:rsid w:val="00040B7A"/>
    <w:rsid w:val="00040E68"/>
    <w:rsid w:val="00041425"/>
    <w:rsid w:val="00041726"/>
    <w:rsid w:val="00041994"/>
    <w:rsid w:val="00041A86"/>
    <w:rsid w:val="00041B34"/>
    <w:rsid w:val="00041BEE"/>
    <w:rsid w:val="00041E0A"/>
    <w:rsid w:val="00041F87"/>
    <w:rsid w:val="000421B4"/>
    <w:rsid w:val="000422F8"/>
    <w:rsid w:val="000424F4"/>
    <w:rsid w:val="00042754"/>
    <w:rsid w:val="000428B9"/>
    <w:rsid w:val="00042981"/>
    <w:rsid w:val="00042A66"/>
    <w:rsid w:val="00042DFD"/>
    <w:rsid w:val="000433A0"/>
    <w:rsid w:val="00043540"/>
    <w:rsid w:val="000435B2"/>
    <w:rsid w:val="00043859"/>
    <w:rsid w:val="0004395D"/>
    <w:rsid w:val="00043B22"/>
    <w:rsid w:val="00043C23"/>
    <w:rsid w:val="00043E57"/>
    <w:rsid w:val="00043EAB"/>
    <w:rsid w:val="00043F86"/>
    <w:rsid w:val="00044734"/>
    <w:rsid w:val="00044A92"/>
    <w:rsid w:val="00044B9D"/>
    <w:rsid w:val="00044F04"/>
    <w:rsid w:val="000450F7"/>
    <w:rsid w:val="000452FA"/>
    <w:rsid w:val="000455E6"/>
    <w:rsid w:val="0004563A"/>
    <w:rsid w:val="0004576A"/>
    <w:rsid w:val="00045C63"/>
    <w:rsid w:val="00046287"/>
    <w:rsid w:val="000467AC"/>
    <w:rsid w:val="000469B7"/>
    <w:rsid w:val="00046A19"/>
    <w:rsid w:val="00046C58"/>
    <w:rsid w:val="00047FB8"/>
    <w:rsid w:val="00050535"/>
    <w:rsid w:val="000509A6"/>
    <w:rsid w:val="00050A55"/>
    <w:rsid w:val="00050CB8"/>
    <w:rsid w:val="00051425"/>
    <w:rsid w:val="000516C0"/>
    <w:rsid w:val="00051A48"/>
    <w:rsid w:val="00051CC0"/>
    <w:rsid w:val="00052088"/>
    <w:rsid w:val="00052469"/>
    <w:rsid w:val="00052B64"/>
    <w:rsid w:val="00052C60"/>
    <w:rsid w:val="00052D72"/>
    <w:rsid w:val="00052E8C"/>
    <w:rsid w:val="000530EC"/>
    <w:rsid w:val="00053266"/>
    <w:rsid w:val="0005343D"/>
    <w:rsid w:val="0005363B"/>
    <w:rsid w:val="000538D2"/>
    <w:rsid w:val="00053B40"/>
    <w:rsid w:val="00053C51"/>
    <w:rsid w:val="00053CF7"/>
    <w:rsid w:val="00054100"/>
    <w:rsid w:val="00054107"/>
    <w:rsid w:val="0005419C"/>
    <w:rsid w:val="000543FB"/>
    <w:rsid w:val="00054515"/>
    <w:rsid w:val="0005455B"/>
    <w:rsid w:val="000546E7"/>
    <w:rsid w:val="00054AE9"/>
    <w:rsid w:val="00054B89"/>
    <w:rsid w:val="00054DD5"/>
    <w:rsid w:val="00054EF8"/>
    <w:rsid w:val="00055178"/>
    <w:rsid w:val="00055244"/>
    <w:rsid w:val="000553A5"/>
    <w:rsid w:val="00055460"/>
    <w:rsid w:val="00055549"/>
    <w:rsid w:val="00055653"/>
    <w:rsid w:val="00055847"/>
    <w:rsid w:val="00055883"/>
    <w:rsid w:val="00056069"/>
    <w:rsid w:val="000560F9"/>
    <w:rsid w:val="00056760"/>
    <w:rsid w:val="000573EC"/>
    <w:rsid w:val="000574CC"/>
    <w:rsid w:val="000576E3"/>
    <w:rsid w:val="00057C72"/>
    <w:rsid w:val="00057E22"/>
    <w:rsid w:val="00057FAD"/>
    <w:rsid w:val="0006021B"/>
    <w:rsid w:val="000605EF"/>
    <w:rsid w:val="000607A1"/>
    <w:rsid w:val="000607E6"/>
    <w:rsid w:val="00060A99"/>
    <w:rsid w:val="00060C0C"/>
    <w:rsid w:val="0006101B"/>
    <w:rsid w:val="000612D1"/>
    <w:rsid w:val="00061516"/>
    <w:rsid w:val="000616C0"/>
    <w:rsid w:val="000616CB"/>
    <w:rsid w:val="000616F4"/>
    <w:rsid w:val="000618B9"/>
    <w:rsid w:val="00061F14"/>
    <w:rsid w:val="00061FAC"/>
    <w:rsid w:val="0006277B"/>
    <w:rsid w:val="00063402"/>
    <w:rsid w:val="00063696"/>
    <w:rsid w:val="00063784"/>
    <w:rsid w:val="000639AE"/>
    <w:rsid w:val="00063C3F"/>
    <w:rsid w:val="00063C66"/>
    <w:rsid w:val="00063F8B"/>
    <w:rsid w:val="00064735"/>
    <w:rsid w:val="000649AB"/>
    <w:rsid w:val="00064A20"/>
    <w:rsid w:val="00064BC8"/>
    <w:rsid w:val="00064C03"/>
    <w:rsid w:val="000651E6"/>
    <w:rsid w:val="00065657"/>
    <w:rsid w:val="000657AC"/>
    <w:rsid w:val="00065D2F"/>
    <w:rsid w:val="00065EAE"/>
    <w:rsid w:val="0006619A"/>
    <w:rsid w:val="00066246"/>
    <w:rsid w:val="00066484"/>
    <w:rsid w:val="000664D0"/>
    <w:rsid w:val="000667C0"/>
    <w:rsid w:val="0006694A"/>
    <w:rsid w:val="000669D2"/>
    <w:rsid w:val="00066B2A"/>
    <w:rsid w:val="00066D5F"/>
    <w:rsid w:val="00066D79"/>
    <w:rsid w:val="00066E7A"/>
    <w:rsid w:val="00067709"/>
    <w:rsid w:val="0006783C"/>
    <w:rsid w:val="00067875"/>
    <w:rsid w:val="00067DB9"/>
    <w:rsid w:val="00067F19"/>
    <w:rsid w:val="00067F9D"/>
    <w:rsid w:val="000700E1"/>
    <w:rsid w:val="0007032B"/>
    <w:rsid w:val="000704E6"/>
    <w:rsid w:val="00070B4B"/>
    <w:rsid w:val="00070B61"/>
    <w:rsid w:val="00071020"/>
    <w:rsid w:val="000711C3"/>
    <w:rsid w:val="000711DB"/>
    <w:rsid w:val="00071467"/>
    <w:rsid w:val="00071561"/>
    <w:rsid w:val="0007171D"/>
    <w:rsid w:val="0007183E"/>
    <w:rsid w:val="00071946"/>
    <w:rsid w:val="00071C8F"/>
    <w:rsid w:val="00071DCE"/>
    <w:rsid w:val="00071FC9"/>
    <w:rsid w:val="0007212A"/>
    <w:rsid w:val="000723E7"/>
    <w:rsid w:val="00072420"/>
    <w:rsid w:val="000727E6"/>
    <w:rsid w:val="000729CC"/>
    <w:rsid w:val="00072A53"/>
    <w:rsid w:val="00072C42"/>
    <w:rsid w:val="00072EDC"/>
    <w:rsid w:val="00072FC5"/>
    <w:rsid w:val="00073516"/>
    <w:rsid w:val="000737BB"/>
    <w:rsid w:val="00073994"/>
    <w:rsid w:val="00073EAC"/>
    <w:rsid w:val="00073EE3"/>
    <w:rsid w:val="000744C5"/>
    <w:rsid w:val="000745C4"/>
    <w:rsid w:val="00074628"/>
    <w:rsid w:val="0007489D"/>
    <w:rsid w:val="00074EE0"/>
    <w:rsid w:val="000751E2"/>
    <w:rsid w:val="0007521D"/>
    <w:rsid w:val="000754E7"/>
    <w:rsid w:val="0007582A"/>
    <w:rsid w:val="0007589F"/>
    <w:rsid w:val="000759DE"/>
    <w:rsid w:val="00075B81"/>
    <w:rsid w:val="00075EB8"/>
    <w:rsid w:val="00075FC3"/>
    <w:rsid w:val="00076041"/>
    <w:rsid w:val="00076061"/>
    <w:rsid w:val="00076341"/>
    <w:rsid w:val="00076497"/>
    <w:rsid w:val="00076916"/>
    <w:rsid w:val="000770FA"/>
    <w:rsid w:val="0007776D"/>
    <w:rsid w:val="000778CD"/>
    <w:rsid w:val="00077A0E"/>
    <w:rsid w:val="00077A53"/>
    <w:rsid w:val="00077A56"/>
    <w:rsid w:val="00077F11"/>
    <w:rsid w:val="00077FF1"/>
    <w:rsid w:val="000804FF"/>
    <w:rsid w:val="00080541"/>
    <w:rsid w:val="00080737"/>
    <w:rsid w:val="00080F72"/>
    <w:rsid w:val="00080FDC"/>
    <w:rsid w:val="00080FFF"/>
    <w:rsid w:val="000815B5"/>
    <w:rsid w:val="00081790"/>
    <w:rsid w:val="00081C42"/>
    <w:rsid w:val="00081CD4"/>
    <w:rsid w:val="0008205E"/>
    <w:rsid w:val="00082154"/>
    <w:rsid w:val="00082441"/>
    <w:rsid w:val="000824B2"/>
    <w:rsid w:val="000825F0"/>
    <w:rsid w:val="00082668"/>
    <w:rsid w:val="00082A18"/>
    <w:rsid w:val="00082AD5"/>
    <w:rsid w:val="00082F0E"/>
    <w:rsid w:val="00082F63"/>
    <w:rsid w:val="00083479"/>
    <w:rsid w:val="000834CE"/>
    <w:rsid w:val="000836A4"/>
    <w:rsid w:val="00083BBF"/>
    <w:rsid w:val="00084733"/>
    <w:rsid w:val="000848A9"/>
    <w:rsid w:val="00084AB0"/>
    <w:rsid w:val="00084BD3"/>
    <w:rsid w:val="00084DD2"/>
    <w:rsid w:val="00084F29"/>
    <w:rsid w:val="000853AF"/>
    <w:rsid w:val="0008544D"/>
    <w:rsid w:val="00085790"/>
    <w:rsid w:val="00085A62"/>
    <w:rsid w:val="00085A6F"/>
    <w:rsid w:val="00086254"/>
    <w:rsid w:val="00086291"/>
    <w:rsid w:val="00086C32"/>
    <w:rsid w:val="00086DAB"/>
    <w:rsid w:val="00087243"/>
    <w:rsid w:val="000874CE"/>
    <w:rsid w:val="000876AE"/>
    <w:rsid w:val="00087737"/>
    <w:rsid w:val="00087C7D"/>
    <w:rsid w:val="00090275"/>
    <w:rsid w:val="00090644"/>
    <w:rsid w:val="00090705"/>
    <w:rsid w:val="0009086B"/>
    <w:rsid w:val="00090B09"/>
    <w:rsid w:val="000910C2"/>
    <w:rsid w:val="00091153"/>
    <w:rsid w:val="00091592"/>
    <w:rsid w:val="00091D95"/>
    <w:rsid w:val="0009202A"/>
    <w:rsid w:val="000927D0"/>
    <w:rsid w:val="00092AF9"/>
    <w:rsid w:val="00092BE1"/>
    <w:rsid w:val="000935E2"/>
    <w:rsid w:val="000937DD"/>
    <w:rsid w:val="0009385B"/>
    <w:rsid w:val="0009390A"/>
    <w:rsid w:val="000939D5"/>
    <w:rsid w:val="00093C10"/>
    <w:rsid w:val="00093D7B"/>
    <w:rsid w:val="0009408B"/>
    <w:rsid w:val="0009448A"/>
    <w:rsid w:val="00094AAE"/>
    <w:rsid w:val="00094AC6"/>
    <w:rsid w:val="00094B9B"/>
    <w:rsid w:val="00094CEE"/>
    <w:rsid w:val="00094DCA"/>
    <w:rsid w:val="00095043"/>
    <w:rsid w:val="0009512F"/>
    <w:rsid w:val="0009519F"/>
    <w:rsid w:val="00095302"/>
    <w:rsid w:val="00095386"/>
    <w:rsid w:val="00095F60"/>
    <w:rsid w:val="00096657"/>
    <w:rsid w:val="0009691A"/>
    <w:rsid w:val="00096969"/>
    <w:rsid w:val="000969B1"/>
    <w:rsid w:val="00096BBC"/>
    <w:rsid w:val="00096C7B"/>
    <w:rsid w:val="00096CEE"/>
    <w:rsid w:val="00097369"/>
    <w:rsid w:val="00097601"/>
    <w:rsid w:val="000976BC"/>
    <w:rsid w:val="00097753"/>
    <w:rsid w:val="00097905"/>
    <w:rsid w:val="00097B8A"/>
    <w:rsid w:val="000A0071"/>
    <w:rsid w:val="000A02EB"/>
    <w:rsid w:val="000A034D"/>
    <w:rsid w:val="000A070C"/>
    <w:rsid w:val="000A08EA"/>
    <w:rsid w:val="000A097D"/>
    <w:rsid w:val="000A0B64"/>
    <w:rsid w:val="000A1049"/>
    <w:rsid w:val="000A1199"/>
    <w:rsid w:val="000A11B5"/>
    <w:rsid w:val="000A1368"/>
    <w:rsid w:val="000A13E6"/>
    <w:rsid w:val="000A143F"/>
    <w:rsid w:val="000A1896"/>
    <w:rsid w:val="000A1E2E"/>
    <w:rsid w:val="000A1ED3"/>
    <w:rsid w:val="000A204E"/>
    <w:rsid w:val="000A21C5"/>
    <w:rsid w:val="000A2367"/>
    <w:rsid w:val="000A26F5"/>
    <w:rsid w:val="000A271F"/>
    <w:rsid w:val="000A2AF0"/>
    <w:rsid w:val="000A2DD7"/>
    <w:rsid w:val="000A36CF"/>
    <w:rsid w:val="000A37C3"/>
    <w:rsid w:val="000A3A41"/>
    <w:rsid w:val="000A3ACF"/>
    <w:rsid w:val="000A3BF5"/>
    <w:rsid w:val="000A40E2"/>
    <w:rsid w:val="000A434D"/>
    <w:rsid w:val="000A4644"/>
    <w:rsid w:val="000A46AD"/>
    <w:rsid w:val="000A5149"/>
    <w:rsid w:val="000A53E0"/>
    <w:rsid w:val="000A55C9"/>
    <w:rsid w:val="000A59A7"/>
    <w:rsid w:val="000A5D57"/>
    <w:rsid w:val="000A5D82"/>
    <w:rsid w:val="000A5DC0"/>
    <w:rsid w:val="000A6608"/>
    <w:rsid w:val="000A6B96"/>
    <w:rsid w:val="000A6DEF"/>
    <w:rsid w:val="000A7042"/>
    <w:rsid w:val="000A704C"/>
    <w:rsid w:val="000A7370"/>
    <w:rsid w:val="000A73D2"/>
    <w:rsid w:val="000A75D9"/>
    <w:rsid w:val="000A765D"/>
    <w:rsid w:val="000A7E1C"/>
    <w:rsid w:val="000A7F3D"/>
    <w:rsid w:val="000A7FB5"/>
    <w:rsid w:val="000B0829"/>
    <w:rsid w:val="000B08A8"/>
    <w:rsid w:val="000B0B8C"/>
    <w:rsid w:val="000B0E3A"/>
    <w:rsid w:val="000B0EB4"/>
    <w:rsid w:val="000B1028"/>
    <w:rsid w:val="000B112E"/>
    <w:rsid w:val="000B1176"/>
    <w:rsid w:val="000B16F0"/>
    <w:rsid w:val="000B19F7"/>
    <w:rsid w:val="000B1C5A"/>
    <w:rsid w:val="000B1E24"/>
    <w:rsid w:val="000B1F12"/>
    <w:rsid w:val="000B2047"/>
    <w:rsid w:val="000B204E"/>
    <w:rsid w:val="000B2334"/>
    <w:rsid w:val="000B2416"/>
    <w:rsid w:val="000B257A"/>
    <w:rsid w:val="000B26A6"/>
    <w:rsid w:val="000B2A5F"/>
    <w:rsid w:val="000B2AF1"/>
    <w:rsid w:val="000B2B74"/>
    <w:rsid w:val="000B2BFC"/>
    <w:rsid w:val="000B35FE"/>
    <w:rsid w:val="000B376D"/>
    <w:rsid w:val="000B3955"/>
    <w:rsid w:val="000B395E"/>
    <w:rsid w:val="000B3A5D"/>
    <w:rsid w:val="000B3BF3"/>
    <w:rsid w:val="000B3C2E"/>
    <w:rsid w:val="000B3D38"/>
    <w:rsid w:val="000B3E53"/>
    <w:rsid w:val="000B3FE1"/>
    <w:rsid w:val="000B408B"/>
    <w:rsid w:val="000B43F6"/>
    <w:rsid w:val="000B452B"/>
    <w:rsid w:val="000B45BE"/>
    <w:rsid w:val="000B5212"/>
    <w:rsid w:val="000B5258"/>
    <w:rsid w:val="000B5473"/>
    <w:rsid w:val="000B54F6"/>
    <w:rsid w:val="000B6007"/>
    <w:rsid w:val="000B6502"/>
    <w:rsid w:val="000B7096"/>
    <w:rsid w:val="000B7716"/>
    <w:rsid w:val="000B7752"/>
    <w:rsid w:val="000B7966"/>
    <w:rsid w:val="000B7A3B"/>
    <w:rsid w:val="000B7B03"/>
    <w:rsid w:val="000B7DEB"/>
    <w:rsid w:val="000B7FDF"/>
    <w:rsid w:val="000C0232"/>
    <w:rsid w:val="000C02E9"/>
    <w:rsid w:val="000C04C1"/>
    <w:rsid w:val="000C050F"/>
    <w:rsid w:val="000C0C50"/>
    <w:rsid w:val="000C1122"/>
    <w:rsid w:val="000C1139"/>
    <w:rsid w:val="000C1197"/>
    <w:rsid w:val="000C1296"/>
    <w:rsid w:val="000C1E10"/>
    <w:rsid w:val="000C1F3C"/>
    <w:rsid w:val="000C22B0"/>
    <w:rsid w:val="000C2777"/>
    <w:rsid w:val="000C2C27"/>
    <w:rsid w:val="000C2C70"/>
    <w:rsid w:val="000C2E0C"/>
    <w:rsid w:val="000C2EF7"/>
    <w:rsid w:val="000C2F0A"/>
    <w:rsid w:val="000C3275"/>
    <w:rsid w:val="000C3583"/>
    <w:rsid w:val="000C3589"/>
    <w:rsid w:val="000C360A"/>
    <w:rsid w:val="000C3679"/>
    <w:rsid w:val="000C3B9A"/>
    <w:rsid w:val="000C3BC6"/>
    <w:rsid w:val="000C3F65"/>
    <w:rsid w:val="000C42CA"/>
    <w:rsid w:val="000C474A"/>
    <w:rsid w:val="000C47C2"/>
    <w:rsid w:val="000C484F"/>
    <w:rsid w:val="000C4E89"/>
    <w:rsid w:val="000C52BF"/>
    <w:rsid w:val="000C59C1"/>
    <w:rsid w:val="000C5A1E"/>
    <w:rsid w:val="000C5B8D"/>
    <w:rsid w:val="000C6251"/>
    <w:rsid w:val="000C6A27"/>
    <w:rsid w:val="000C6B8F"/>
    <w:rsid w:val="000C6BD2"/>
    <w:rsid w:val="000C6D99"/>
    <w:rsid w:val="000C6DA7"/>
    <w:rsid w:val="000C6EC2"/>
    <w:rsid w:val="000C71E3"/>
    <w:rsid w:val="000C79E7"/>
    <w:rsid w:val="000C7C9F"/>
    <w:rsid w:val="000D0077"/>
    <w:rsid w:val="000D0248"/>
    <w:rsid w:val="000D061E"/>
    <w:rsid w:val="000D10CE"/>
    <w:rsid w:val="000D12C1"/>
    <w:rsid w:val="000D1BF3"/>
    <w:rsid w:val="000D2153"/>
    <w:rsid w:val="000D22D1"/>
    <w:rsid w:val="000D24A9"/>
    <w:rsid w:val="000D259D"/>
    <w:rsid w:val="000D277B"/>
    <w:rsid w:val="000D27CD"/>
    <w:rsid w:val="000D2A1D"/>
    <w:rsid w:val="000D2D60"/>
    <w:rsid w:val="000D2DD1"/>
    <w:rsid w:val="000D2F19"/>
    <w:rsid w:val="000D2F60"/>
    <w:rsid w:val="000D32DB"/>
    <w:rsid w:val="000D32E5"/>
    <w:rsid w:val="000D3442"/>
    <w:rsid w:val="000D395F"/>
    <w:rsid w:val="000D3A8D"/>
    <w:rsid w:val="000D3F8A"/>
    <w:rsid w:val="000D3FC5"/>
    <w:rsid w:val="000D4314"/>
    <w:rsid w:val="000D43DB"/>
    <w:rsid w:val="000D4434"/>
    <w:rsid w:val="000D4530"/>
    <w:rsid w:val="000D4DD3"/>
    <w:rsid w:val="000D5906"/>
    <w:rsid w:val="000D5982"/>
    <w:rsid w:val="000D5C04"/>
    <w:rsid w:val="000D5F09"/>
    <w:rsid w:val="000D6131"/>
    <w:rsid w:val="000D663A"/>
    <w:rsid w:val="000D6A21"/>
    <w:rsid w:val="000D6ADC"/>
    <w:rsid w:val="000D715B"/>
    <w:rsid w:val="000D72CC"/>
    <w:rsid w:val="000D74AB"/>
    <w:rsid w:val="000D74F9"/>
    <w:rsid w:val="000D7993"/>
    <w:rsid w:val="000D79F4"/>
    <w:rsid w:val="000D7B57"/>
    <w:rsid w:val="000D7BE6"/>
    <w:rsid w:val="000D7DA9"/>
    <w:rsid w:val="000D7ED2"/>
    <w:rsid w:val="000E0346"/>
    <w:rsid w:val="000E09A7"/>
    <w:rsid w:val="000E0CAB"/>
    <w:rsid w:val="000E102E"/>
    <w:rsid w:val="000E112D"/>
    <w:rsid w:val="000E11D0"/>
    <w:rsid w:val="000E131E"/>
    <w:rsid w:val="000E1761"/>
    <w:rsid w:val="000E1E3C"/>
    <w:rsid w:val="000E1FBF"/>
    <w:rsid w:val="000E203D"/>
    <w:rsid w:val="000E21F7"/>
    <w:rsid w:val="000E2768"/>
    <w:rsid w:val="000E2B97"/>
    <w:rsid w:val="000E2BD2"/>
    <w:rsid w:val="000E2E21"/>
    <w:rsid w:val="000E2E42"/>
    <w:rsid w:val="000E3205"/>
    <w:rsid w:val="000E3672"/>
    <w:rsid w:val="000E36D9"/>
    <w:rsid w:val="000E393E"/>
    <w:rsid w:val="000E39FC"/>
    <w:rsid w:val="000E40E5"/>
    <w:rsid w:val="000E4148"/>
    <w:rsid w:val="000E4A0B"/>
    <w:rsid w:val="000E4A36"/>
    <w:rsid w:val="000E4B19"/>
    <w:rsid w:val="000E4DEA"/>
    <w:rsid w:val="000E4E6D"/>
    <w:rsid w:val="000E4E7C"/>
    <w:rsid w:val="000E4F83"/>
    <w:rsid w:val="000E4FC0"/>
    <w:rsid w:val="000E53E4"/>
    <w:rsid w:val="000E5761"/>
    <w:rsid w:val="000E5883"/>
    <w:rsid w:val="000E59C9"/>
    <w:rsid w:val="000E5D71"/>
    <w:rsid w:val="000E6049"/>
    <w:rsid w:val="000E606F"/>
    <w:rsid w:val="000E608A"/>
    <w:rsid w:val="000E651A"/>
    <w:rsid w:val="000E6627"/>
    <w:rsid w:val="000E6E50"/>
    <w:rsid w:val="000E7150"/>
    <w:rsid w:val="000E729F"/>
    <w:rsid w:val="000E7369"/>
    <w:rsid w:val="000E7404"/>
    <w:rsid w:val="000E757A"/>
    <w:rsid w:val="000E7592"/>
    <w:rsid w:val="000E7812"/>
    <w:rsid w:val="000E7980"/>
    <w:rsid w:val="000E7C3B"/>
    <w:rsid w:val="000E7C69"/>
    <w:rsid w:val="000E7E76"/>
    <w:rsid w:val="000F0261"/>
    <w:rsid w:val="000F0A2D"/>
    <w:rsid w:val="000F0CEB"/>
    <w:rsid w:val="000F1458"/>
    <w:rsid w:val="000F15AE"/>
    <w:rsid w:val="000F174A"/>
    <w:rsid w:val="000F1AAF"/>
    <w:rsid w:val="000F1AD7"/>
    <w:rsid w:val="000F2008"/>
    <w:rsid w:val="000F272D"/>
    <w:rsid w:val="000F2973"/>
    <w:rsid w:val="000F2C29"/>
    <w:rsid w:val="000F2CBA"/>
    <w:rsid w:val="000F2CC1"/>
    <w:rsid w:val="000F2F96"/>
    <w:rsid w:val="000F3070"/>
    <w:rsid w:val="000F35EA"/>
    <w:rsid w:val="000F3706"/>
    <w:rsid w:val="000F3B9F"/>
    <w:rsid w:val="000F3C81"/>
    <w:rsid w:val="000F3D72"/>
    <w:rsid w:val="000F3E61"/>
    <w:rsid w:val="000F3F84"/>
    <w:rsid w:val="000F4F0E"/>
    <w:rsid w:val="000F51F3"/>
    <w:rsid w:val="000F52EE"/>
    <w:rsid w:val="000F55AE"/>
    <w:rsid w:val="000F5A32"/>
    <w:rsid w:val="000F5D65"/>
    <w:rsid w:val="000F5FBD"/>
    <w:rsid w:val="000F6288"/>
    <w:rsid w:val="000F689F"/>
    <w:rsid w:val="000F6959"/>
    <w:rsid w:val="000F69D2"/>
    <w:rsid w:val="000F6D55"/>
    <w:rsid w:val="000F6D87"/>
    <w:rsid w:val="000F6D97"/>
    <w:rsid w:val="000F6E01"/>
    <w:rsid w:val="000F6F4D"/>
    <w:rsid w:val="000F709B"/>
    <w:rsid w:val="000F70B7"/>
    <w:rsid w:val="000F71B5"/>
    <w:rsid w:val="000F71EB"/>
    <w:rsid w:val="000F7834"/>
    <w:rsid w:val="001001EC"/>
    <w:rsid w:val="00100278"/>
    <w:rsid w:val="001002FA"/>
    <w:rsid w:val="00100490"/>
    <w:rsid w:val="00100D42"/>
    <w:rsid w:val="00100DCF"/>
    <w:rsid w:val="00100F2E"/>
    <w:rsid w:val="0010149B"/>
    <w:rsid w:val="001016F5"/>
    <w:rsid w:val="00101848"/>
    <w:rsid w:val="001020C9"/>
    <w:rsid w:val="001021E1"/>
    <w:rsid w:val="001022AF"/>
    <w:rsid w:val="00102B95"/>
    <w:rsid w:val="00102C6E"/>
    <w:rsid w:val="00102C70"/>
    <w:rsid w:val="00102CD2"/>
    <w:rsid w:val="00102DD3"/>
    <w:rsid w:val="00102EEE"/>
    <w:rsid w:val="00102F78"/>
    <w:rsid w:val="00102FF4"/>
    <w:rsid w:val="00103063"/>
    <w:rsid w:val="00103277"/>
    <w:rsid w:val="0010341D"/>
    <w:rsid w:val="00103851"/>
    <w:rsid w:val="00103B96"/>
    <w:rsid w:val="00103C0A"/>
    <w:rsid w:val="00103EFA"/>
    <w:rsid w:val="00103FA0"/>
    <w:rsid w:val="0010414D"/>
    <w:rsid w:val="00104208"/>
    <w:rsid w:val="001042DA"/>
    <w:rsid w:val="00104E15"/>
    <w:rsid w:val="00104FB9"/>
    <w:rsid w:val="00105CD4"/>
    <w:rsid w:val="0010602A"/>
    <w:rsid w:val="001066F0"/>
    <w:rsid w:val="0010679C"/>
    <w:rsid w:val="00106A1B"/>
    <w:rsid w:val="001071A0"/>
    <w:rsid w:val="00107211"/>
    <w:rsid w:val="00107266"/>
    <w:rsid w:val="00107499"/>
    <w:rsid w:val="001075D5"/>
    <w:rsid w:val="00107B71"/>
    <w:rsid w:val="00107BD0"/>
    <w:rsid w:val="00107D51"/>
    <w:rsid w:val="00107DC6"/>
    <w:rsid w:val="00107E70"/>
    <w:rsid w:val="00107F3F"/>
    <w:rsid w:val="0011005C"/>
    <w:rsid w:val="001100A7"/>
    <w:rsid w:val="0011029D"/>
    <w:rsid w:val="00110581"/>
    <w:rsid w:val="00110770"/>
    <w:rsid w:val="00110949"/>
    <w:rsid w:val="00110A29"/>
    <w:rsid w:val="00110B1F"/>
    <w:rsid w:val="00110F06"/>
    <w:rsid w:val="001113A7"/>
    <w:rsid w:val="00111577"/>
    <w:rsid w:val="00111648"/>
    <w:rsid w:val="0011177C"/>
    <w:rsid w:val="00111BE2"/>
    <w:rsid w:val="00111CB9"/>
    <w:rsid w:val="00111CE0"/>
    <w:rsid w:val="00111DF2"/>
    <w:rsid w:val="00111E73"/>
    <w:rsid w:val="00111EF9"/>
    <w:rsid w:val="00112014"/>
    <w:rsid w:val="00112213"/>
    <w:rsid w:val="001123F1"/>
    <w:rsid w:val="00112426"/>
    <w:rsid w:val="001126DD"/>
    <w:rsid w:val="00112752"/>
    <w:rsid w:val="00112911"/>
    <w:rsid w:val="00112A38"/>
    <w:rsid w:val="00112ADC"/>
    <w:rsid w:val="00112D27"/>
    <w:rsid w:val="00112FE0"/>
    <w:rsid w:val="00112FFF"/>
    <w:rsid w:val="0011303E"/>
    <w:rsid w:val="00113399"/>
    <w:rsid w:val="00113695"/>
    <w:rsid w:val="00113AA7"/>
    <w:rsid w:val="00113ADE"/>
    <w:rsid w:val="00113BA9"/>
    <w:rsid w:val="00114467"/>
    <w:rsid w:val="0011485D"/>
    <w:rsid w:val="00114C8E"/>
    <w:rsid w:val="00114E8F"/>
    <w:rsid w:val="00114EE0"/>
    <w:rsid w:val="0011511B"/>
    <w:rsid w:val="001152F4"/>
    <w:rsid w:val="00115361"/>
    <w:rsid w:val="001154D1"/>
    <w:rsid w:val="00115B7C"/>
    <w:rsid w:val="00115B7F"/>
    <w:rsid w:val="00115BA9"/>
    <w:rsid w:val="00116167"/>
    <w:rsid w:val="00116580"/>
    <w:rsid w:val="00116840"/>
    <w:rsid w:val="00116E95"/>
    <w:rsid w:val="00116FA6"/>
    <w:rsid w:val="0011730F"/>
    <w:rsid w:val="00117750"/>
    <w:rsid w:val="0011797C"/>
    <w:rsid w:val="00117AD4"/>
    <w:rsid w:val="00117CF0"/>
    <w:rsid w:val="00117F99"/>
    <w:rsid w:val="00120329"/>
    <w:rsid w:val="00120351"/>
    <w:rsid w:val="00120353"/>
    <w:rsid w:val="001204C3"/>
    <w:rsid w:val="00120643"/>
    <w:rsid w:val="0012071F"/>
    <w:rsid w:val="00120AAC"/>
    <w:rsid w:val="00120C45"/>
    <w:rsid w:val="00121186"/>
    <w:rsid w:val="0012135E"/>
    <w:rsid w:val="0012148F"/>
    <w:rsid w:val="00121786"/>
    <w:rsid w:val="00121818"/>
    <w:rsid w:val="0012193B"/>
    <w:rsid w:val="00121959"/>
    <w:rsid w:val="00121B60"/>
    <w:rsid w:val="00121E39"/>
    <w:rsid w:val="00121FEC"/>
    <w:rsid w:val="001220D1"/>
    <w:rsid w:val="00122366"/>
    <w:rsid w:val="001224D0"/>
    <w:rsid w:val="00122941"/>
    <w:rsid w:val="0012294A"/>
    <w:rsid w:val="00122E28"/>
    <w:rsid w:val="0012336A"/>
    <w:rsid w:val="001234E2"/>
    <w:rsid w:val="001237B3"/>
    <w:rsid w:val="00123D02"/>
    <w:rsid w:val="00123F16"/>
    <w:rsid w:val="00124572"/>
    <w:rsid w:val="001248EE"/>
    <w:rsid w:val="00124963"/>
    <w:rsid w:val="00124C1B"/>
    <w:rsid w:val="001253EA"/>
    <w:rsid w:val="0012593E"/>
    <w:rsid w:val="00125AAF"/>
    <w:rsid w:val="00125CE5"/>
    <w:rsid w:val="00125DBF"/>
    <w:rsid w:val="001261BF"/>
    <w:rsid w:val="0012667F"/>
    <w:rsid w:val="001268DB"/>
    <w:rsid w:val="00126F4C"/>
    <w:rsid w:val="00126F69"/>
    <w:rsid w:val="0012714A"/>
    <w:rsid w:val="00127790"/>
    <w:rsid w:val="001277D9"/>
    <w:rsid w:val="0012797B"/>
    <w:rsid w:val="001279FB"/>
    <w:rsid w:val="00127FEC"/>
    <w:rsid w:val="0013013C"/>
    <w:rsid w:val="00130517"/>
    <w:rsid w:val="00130554"/>
    <w:rsid w:val="001305B4"/>
    <w:rsid w:val="00130857"/>
    <w:rsid w:val="00130899"/>
    <w:rsid w:val="00130900"/>
    <w:rsid w:val="00130AC5"/>
    <w:rsid w:val="00130B85"/>
    <w:rsid w:val="00130ECF"/>
    <w:rsid w:val="001311F5"/>
    <w:rsid w:val="001312BE"/>
    <w:rsid w:val="0013133D"/>
    <w:rsid w:val="001317DD"/>
    <w:rsid w:val="00131908"/>
    <w:rsid w:val="00131B72"/>
    <w:rsid w:val="0013202B"/>
    <w:rsid w:val="001320EC"/>
    <w:rsid w:val="0013233A"/>
    <w:rsid w:val="0013268C"/>
    <w:rsid w:val="001329FC"/>
    <w:rsid w:val="00132B93"/>
    <w:rsid w:val="00132F33"/>
    <w:rsid w:val="0013316B"/>
    <w:rsid w:val="00133347"/>
    <w:rsid w:val="00133598"/>
    <w:rsid w:val="00133910"/>
    <w:rsid w:val="0013423B"/>
    <w:rsid w:val="0013452D"/>
    <w:rsid w:val="00134724"/>
    <w:rsid w:val="00134795"/>
    <w:rsid w:val="001348FD"/>
    <w:rsid w:val="00134AC2"/>
    <w:rsid w:val="00135008"/>
    <w:rsid w:val="001351E2"/>
    <w:rsid w:val="0013597B"/>
    <w:rsid w:val="001359EF"/>
    <w:rsid w:val="00135A79"/>
    <w:rsid w:val="00135CE3"/>
    <w:rsid w:val="00136701"/>
    <w:rsid w:val="001367B4"/>
    <w:rsid w:val="00136A7F"/>
    <w:rsid w:val="00136F1E"/>
    <w:rsid w:val="001370A8"/>
    <w:rsid w:val="001375DB"/>
    <w:rsid w:val="001377CA"/>
    <w:rsid w:val="001403CE"/>
    <w:rsid w:val="00140483"/>
    <w:rsid w:val="00140628"/>
    <w:rsid w:val="0014075B"/>
    <w:rsid w:val="001407FB"/>
    <w:rsid w:val="00140811"/>
    <w:rsid w:val="0014083B"/>
    <w:rsid w:val="00140A33"/>
    <w:rsid w:val="00140AB7"/>
    <w:rsid w:val="00140AE2"/>
    <w:rsid w:val="00140AFE"/>
    <w:rsid w:val="00140D7C"/>
    <w:rsid w:val="001410A4"/>
    <w:rsid w:val="001413BA"/>
    <w:rsid w:val="00141ED8"/>
    <w:rsid w:val="001420AE"/>
    <w:rsid w:val="001423BF"/>
    <w:rsid w:val="0014257D"/>
    <w:rsid w:val="00142D5E"/>
    <w:rsid w:val="00143309"/>
    <w:rsid w:val="00143600"/>
    <w:rsid w:val="00143C23"/>
    <w:rsid w:val="00143C81"/>
    <w:rsid w:val="00143E4A"/>
    <w:rsid w:val="0014402D"/>
    <w:rsid w:val="001444B2"/>
    <w:rsid w:val="00144CF6"/>
    <w:rsid w:val="001450B5"/>
    <w:rsid w:val="0014518F"/>
    <w:rsid w:val="001452FC"/>
    <w:rsid w:val="00145443"/>
    <w:rsid w:val="001454CA"/>
    <w:rsid w:val="001454E4"/>
    <w:rsid w:val="00145595"/>
    <w:rsid w:val="00145598"/>
    <w:rsid w:val="001457BE"/>
    <w:rsid w:val="001458E1"/>
    <w:rsid w:val="00145FD6"/>
    <w:rsid w:val="00146126"/>
    <w:rsid w:val="0014644E"/>
    <w:rsid w:val="0014654C"/>
    <w:rsid w:val="00146ADE"/>
    <w:rsid w:val="0014755E"/>
    <w:rsid w:val="001475A7"/>
    <w:rsid w:val="001477CF"/>
    <w:rsid w:val="00147823"/>
    <w:rsid w:val="00147839"/>
    <w:rsid w:val="001479A3"/>
    <w:rsid w:val="00147AB0"/>
    <w:rsid w:val="00147AC1"/>
    <w:rsid w:val="00147B29"/>
    <w:rsid w:val="00147C1C"/>
    <w:rsid w:val="00147D05"/>
    <w:rsid w:val="001503C4"/>
    <w:rsid w:val="001503D1"/>
    <w:rsid w:val="001505DE"/>
    <w:rsid w:val="00150715"/>
    <w:rsid w:val="001507C1"/>
    <w:rsid w:val="001508AF"/>
    <w:rsid w:val="00150A1B"/>
    <w:rsid w:val="00150B8F"/>
    <w:rsid w:val="00150C90"/>
    <w:rsid w:val="00150D92"/>
    <w:rsid w:val="00150DD3"/>
    <w:rsid w:val="00151684"/>
    <w:rsid w:val="001516A6"/>
    <w:rsid w:val="00151A9D"/>
    <w:rsid w:val="00151AA3"/>
    <w:rsid w:val="00151E5D"/>
    <w:rsid w:val="00151F07"/>
    <w:rsid w:val="00151F6B"/>
    <w:rsid w:val="00151F72"/>
    <w:rsid w:val="00152323"/>
    <w:rsid w:val="001524B3"/>
    <w:rsid w:val="00152C53"/>
    <w:rsid w:val="00152D03"/>
    <w:rsid w:val="00153030"/>
    <w:rsid w:val="001531E7"/>
    <w:rsid w:val="0015339B"/>
    <w:rsid w:val="00153861"/>
    <w:rsid w:val="001538AE"/>
    <w:rsid w:val="0015427C"/>
    <w:rsid w:val="001545CB"/>
    <w:rsid w:val="00154939"/>
    <w:rsid w:val="00154D24"/>
    <w:rsid w:val="00154E79"/>
    <w:rsid w:val="001556F5"/>
    <w:rsid w:val="001557C2"/>
    <w:rsid w:val="00155E65"/>
    <w:rsid w:val="0015652B"/>
    <w:rsid w:val="001565BB"/>
    <w:rsid w:val="00156AFF"/>
    <w:rsid w:val="00156DD8"/>
    <w:rsid w:val="00156DF2"/>
    <w:rsid w:val="00156E70"/>
    <w:rsid w:val="00157154"/>
    <w:rsid w:val="0015723F"/>
    <w:rsid w:val="001573FB"/>
    <w:rsid w:val="001574EA"/>
    <w:rsid w:val="001575D7"/>
    <w:rsid w:val="0015798E"/>
    <w:rsid w:val="00157BA6"/>
    <w:rsid w:val="00157CEF"/>
    <w:rsid w:val="00157FC0"/>
    <w:rsid w:val="00160117"/>
    <w:rsid w:val="0016019F"/>
    <w:rsid w:val="0016021A"/>
    <w:rsid w:val="00160340"/>
    <w:rsid w:val="00160395"/>
    <w:rsid w:val="0016044C"/>
    <w:rsid w:val="001608AB"/>
    <w:rsid w:val="0016092A"/>
    <w:rsid w:val="00160A46"/>
    <w:rsid w:val="00160E54"/>
    <w:rsid w:val="001611EF"/>
    <w:rsid w:val="00161237"/>
    <w:rsid w:val="00161473"/>
    <w:rsid w:val="0016174B"/>
    <w:rsid w:val="00161BDC"/>
    <w:rsid w:val="00161CCB"/>
    <w:rsid w:val="001623EF"/>
    <w:rsid w:val="0016269C"/>
    <w:rsid w:val="00162968"/>
    <w:rsid w:val="0016320F"/>
    <w:rsid w:val="00163968"/>
    <w:rsid w:val="00163D29"/>
    <w:rsid w:val="001645E3"/>
    <w:rsid w:val="00164684"/>
    <w:rsid w:val="00164913"/>
    <w:rsid w:val="00164B34"/>
    <w:rsid w:val="00164C67"/>
    <w:rsid w:val="00164D5B"/>
    <w:rsid w:val="00164E71"/>
    <w:rsid w:val="001650DD"/>
    <w:rsid w:val="001656B5"/>
    <w:rsid w:val="00165AD3"/>
    <w:rsid w:val="00165C6B"/>
    <w:rsid w:val="00166219"/>
    <w:rsid w:val="00166294"/>
    <w:rsid w:val="00166457"/>
    <w:rsid w:val="00166B50"/>
    <w:rsid w:val="00166F19"/>
    <w:rsid w:val="00166FEB"/>
    <w:rsid w:val="00167763"/>
    <w:rsid w:val="001702AA"/>
    <w:rsid w:val="00170867"/>
    <w:rsid w:val="00170B4F"/>
    <w:rsid w:val="00170D62"/>
    <w:rsid w:val="00171090"/>
    <w:rsid w:val="00171867"/>
    <w:rsid w:val="001718EB"/>
    <w:rsid w:val="00171CAA"/>
    <w:rsid w:val="00171F44"/>
    <w:rsid w:val="001720B7"/>
    <w:rsid w:val="001721AD"/>
    <w:rsid w:val="001722A1"/>
    <w:rsid w:val="00172403"/>
    <w:rsid w:val="0017240B"/>
    <w:rsid w:val="0017244F"/>
    <w:rsid w:val="001728B3"/>
    <w:rsid w:val="00172B04"/>
    <w:rsid w:val="00172B80"/>
    <w:rsid w:val="001735AF"/>
    <w:rsid w:val="001736D9"/>
    <w:rsid w:val="00173B93"/>
    <w:rsid w:val="00173BDF"/>
    <w:rsid w:val="00173EA9"/>
    <w:rsid w:val="00173EC0"/>
    <w:rsid w:val="00174417"/>
    <w:rsid w:val="001744D1"/>
    <w:rsid w:val="001744F7"/>
    <w:rsid w:val="001744FB"/>
    <w:rsid w:val="0017454A"/>
    <w:rsid w:val="00174746"/>
    <w:rsid w:val="00174A11"/>
    <w:rsid w:val="00174AA6"/>
    <w:rsid w:val="00174BE8"/>
    <w:rsid w:val="00174EDA"/>
    <w:rsid w:val="00175827"/>
    <w:rsid w:val="00175ACA"/>
    <w:rsid w:val="00175BEB"/>
    <w:rsid w:val="00175F1B"/>
    <w:rsid w:val="00176098"/>
    <w:rsid w:val="001764E2"/>
    <w:rsid w:val="00176566"/>
    <w:rsid w:val="001766C6"/>
    <w:rsid w:val="001769CC"/>
    <w:rsid w:val="00176AC4"/>
    <w:rsid w:val="00176C11"/>
    <w:rsid w:val="0017706B"/>
    <w:rsid w:val="001778FD"/>
    <w:rsid w:val="00177AB2"/>
    <w:rsid w:val="00177AE2"/>
    <w:rsid w:val="001800D1"/>
    <w:rsid w:val="001805AE"/>
    <w:rsid w:val="00180756"/>
    <w:rsid w:val="00180F67"/>
    <w:rsid w:val="00181120"/>
    <w:rsid w:val="00181194"/>
    <w:rsid w:val="001812DA"/>
    <w:rsid w:val="001813DD"/>
    <w:rsid w:val="00181595"/>
    <w:rsid w:val="00181BA7"/>
    <w:rsid w:val="00181E1E"/>
    <w:rsid w:val="00181E22"/>
    <w:rsid w:val="00181E8B"/>
    <w:rsid w:val="00181F8B"/>
    <w:rsid w:val="00182256"/>
    <w:rsid w:val="001824B9"/>
    <w:rsid w:val="0018255A"/>
    <w:rsid w:val="001831C3"/>
    <w:rsid w:val="00183A0B"/>
    <w:rsid w:val="001842B1"/>
    <w:rsid w:val="0018458D"/>
    <w:rsid w:val="00184812"/>
    <w:rsid w:val="00184816"/>
    <w:rsid w:val="00184838"/>
    <w:rsid w:val="00184D9F"/>
    <w:rsid w:val="00185168"/>
    <w:rsid w:val="001851B1"/>
    <w:rsid w:val="001853BE"/>
    <w:rsid w:val="00185513"/>
    <w:rsid w:val="001859E3"/>
    <w:rsid w:val="00185CDD"/>
    <w:rsid w:val="00185D8A"/>
    <w:rsid w:val="00185F6B"/>
    <w:rsid w:val="001861F5"/>
    <w:rsid w:val="00186248"/>
    <w:rsid w:val="001864C8"/>
    <w:rsid w:val="001868BD"/>
    <w:rsid w:val="00186C9A"/>
    <w:rsid w:val="001871A2"/>
    <w:rsid w:val="001876E2"/>
    <w:rsid w:val="00187956"/>
    <w:rsid w:val="00187AC5"/>
    <w:rsid w:val="00187B22"/>
    <w:rsid w:val="00187B9B"/>
    <w:rsid w:val="00190219"/>
    <w:rsid w:val="001902EE"/>
    <w:rsid w:val="001904A2"/>
    <w:rsid w:val="001905D2"/>
    <w:rsid w:val="001907A1"/>
    <w:rsid w:val="001908A7"/>
    <w:rsid w:val="00190DD3"/>
    <w:rsid w:val="001913EE"/>
    <w:rsid w:val="001915BB"/>
    <w:rsid w:val="0019198F"/>
    <w:rsid w:val="00191A7E"/>
    <w:rsid w:val="00191A9E"/>
    <w:rsid w:val="00191C1D"/>
    <w:rsid w:val="00192166"/>
    <w:rsid w:val="0019240B"/>
    <w:rsid w:val="00192BEC"/>
    <w:rsid w:val="001938F0"/>
    <w:rsid w:val="0019401C"/>
    <w:rsid w:val="001945F9"/>
    <w:rsid w:val="001946DD"/>
    <w:rsid w:val="00194822"/>
    <w:rsid w:val="00194A99"/>
    <w:rsid w:val="00194DB0"/>
    <w:rsid w:val="00194E35"/>
    <w:rsid w:val="001958D0"/>
    <w:rsid w:val="0019610A"/>
    <w:rsid w:val="00196519"/>
    <w:rsid w:val="00196573"/>
    <w:rsid w:val="00196E65"/>
    <w:rsid w:val="00197104"/>
    <w:rsid w:val="00197258"/>
    <w:rsid w:val="0019736C"/>
    <w:rsid w:val="001974AC"/>
    <w:rsid w:val="001976D7"/>
    <w:rsid w:val="00197DCF"/>
    <w:rsid w:val="001A0126"/>
    <w:rsid w:val="001A0346"/>
    <w:rsid w:val="001A076E"/>
    <w:rsid w:val="001A0F8E"/>
    <w:rsid w:val="001A1036"/>
    <w:rsid w:val="001A124C"/>
    <w:rsid w:val="001A13AB"/>
    <w:rsid w:val="001A140E"/>
    <w:rsid w:val="001A16C5"/>
    <w:rsid w:val="001A1A2E"/>
    <w:rsid w:val="001A1A65"/>
    <w:rsid w:val="001A1C29"/>
    <w:rsid w:val="001A1ED6"/>
    <w:rsid w:val="001A207F"/>
    <w:rsid w:val="001A2214"/>
    <w:rsid w:val="001A243C"/>
    <w:rsid w:val="001A25C1"/>
    <w:rsid w:val="001A25E8"/>
    <w:rsid w:val="001A26CE"/>
    <w:rsid w:val="001A2812"/>
    <w:rsid w:val="001A2969"/>
    <w:rsid w:val="001A304B"/>
    <w:rsid w:val="001A33F5"/>
    <w:rsid w:val="001A377E"/>
    <w:rsid w:val="001A3A21"/>
    <w:rsid w:val="001A3A8F"/>
    <w:rsid w:val="001A3AC9"/>
    <w:rsid w:val="001A3C9C"/>
    <w:rsid w:val="001A40F9"/>
    <w:rsid w:val="001A41B5"/>
    <w:rsid w:val="001A4332"/>
    <w:rsid w:val="001A47A5"/>
    <w:rsid w:val="001A48F2"/>
    <w:rsid w:val="001A4B92"/>
    <w:rsid w:val="001A4E5A"/>
    <w:rsid w:val="001A4ECB"/>
    <w:rsid w:val="001A5579"/>
    <w:rsid w:val="001A55AC"/>
    <w:rsid w:val="001A5780"/>
    <w:rsid w:val="001A5B6D"/>
    <w:rsid w:val="001A6127"/>
    <w:rsid w:val="001A6278"/>
    <w:rsid w:val="001A6296"/>
    <w:rsid w:val="001A62CC"/>
    <w:rsid w:val="001A685B"/>
    <w:rsid w:val="001A69A1"/>
    <w:rsid w:val="001A6B1E"/>
    <w:rsid w:val="001A6EB4"/>
    <w:rsid w:val="001A6EEC"/>
    <w:rsid w:val="001A7003"/>
    <w:rsid w:val="001A7572"/>
    <w:rsid w:val="001A76EB"/>
    <w:rsid w:val="001A7753"/>
    <w:rsid w:val="001A7970"/>
    <w:rsid w:val="001A7AA8"/>
    <w:rsid w:val="001A7C6D"/>
    <w:rsid w:val="001A7D77"/>
    <w:rsid w:val="001A7D93"/>
    <w:rsid w:val="001B0086"/>
    <w:rsid w:val="001B02E0"/>
    <w:rsid w:val="001B0D35"/>
    <w:rsid w:val="001B0E42"/>
    <w:rsid w:val="001B12C8"/>
    <w:rsid w:val="001B155B"/>
    <w:rsid w:val="001B18D6"/>
    <w:rsid w:val="001B1BBC"/>
    <w:rsid w:val="001B1CCF"/>
    <w:rsid w:val="001B1E10"/>
    <w:rsid w:val="001B1FA7"/>
    <w:rsid w:val="001B214B"/>
    <w:rsid w:val="001B24C5"/>
    <w:rsid w:val="001B263E"/>
    <w:rsid w:val="001B2816"/>
    <w:rsid w:val="001B2BBC"/>
    <w:rsid w:val="001B2E00"/>
    <w:rsid w:val="001B2F26"/>
    <w:rsid w:val="001B3509"/>
    <w:rsid w:val="001B351D"/>
    <w:rsid w:val="001B37A2"/>
    <w:rsid w:val="001B37C9"/>
    <w:rsid w:val="001B3867"/>
    <w:rsid w:val="001B3950"/>
    <w:rsid w:val="001B3A92"/>
    <w:rsid w:val="001B3B47"/>
    <w:rsid w:val="001B3B80"/>
    <w:rsid w:val="001B3B84"/>
    <w:rsid w:val="001B3B90"/>
    <w:rsid w:val="001B3C37"/>
    <w:rsid w:val="001B4177"/>
    <w:rsid w:val="001B4259"/>
    <w:rsid w:val="001B4374"/>
    <w:rsid w:val="001B4543"/>
    <w:rsid w:val="001B4553"/>
    <w:rsid w:val="001B45AA"/>
    <w:rsid w:val="001B4858"/>
    <w:rsid w:val="001B49CB"/>
    <w:rsid w:val="001B49E2"/>
    <w:rsid w:val="001B4ABE"/>
    <w:rsid w:val="001B4AF6"/>
    <w:rsid w:val="001B4C14"/>
    <w:rsid w:val="001B4E67"/>
    <w:rsid w:val="001B5085"/>
    <w:rsid w:val="001B549B"/>
    <w:rsid w:val="001B5793"/>
    <w:rsid w:val="001B57A9"/>
    <w:rsid w:val="001B5860"/>
    <w:rsid w:val="001B5D2C"/>
    <w:rsid w:val="001B5E0A"/>
    <w:rsid w:val="001B5FCD"/>
    <w:rsid w:val="001B62FC"/>
    <w:rsid w:val="001B652A"/>
    <w:rsid w:val="001B6560"/>
    <w:rsid w:val="001B67D8"/>
    <w:rsid w:val="001B6808"/>
    <w:rsid w:val="001B6809"/>
    <w:rsid w:val="001B6C67"/>
    <w:rsid w:val="001B6D5B"/>
    <w:rsid w:val="001B6DFF"/>
    <w:rsid w:val="001B7049"/>
    <w:rsid w:val="001B7D85"/>
    <w:rsid w:val="001B7F80"/>
    <w:rsid w:val="001C0001"/>
    <w:rsid w:val="001C0028"/>
    <w:rsid w:val="001C03EA"/>
    <w:rsid w:val="001C0508"/>
    <w:rsid w:val="001C0AA0"/>
    <w:rsid w:val="001C0B2A"/>
    <w:rsid w:val="001C0BB4"/>
    <w:rsid w:val="001C0CFD"/>
    <w:rsid w:val="001C0E66"/>
    <w:rsid w:val="001C0E8D"/>
    <w:rsid w:val="001C102B"/>
    <w:rsid w:val="001C11EE"/>
    <w:rsid w:val="001C1216"/>
    <w:rsid w:val="001C126F"/>
    <w:rsid w:val="001C134B"/>
    <w:rsid w:val="001C13C0"/>
    <w:rsid w:val="001C158C"/>
    <w:rsid w:val="001C15E6"/>
    <w:rsid w:val="001C16AD"/>
    <w:rsid w:val="001C1BD2"/>
    <w:rsid w:val="001C1EA0"/>
    <w:rsid w:val="001C2106"/>
    <w:rsid w:val="001C2606"/>
    <w:rsid w:val="001C3039"/>
    <w:rsid w:val="001C3334"/>
    <w:rsid w:val="001C38BD"/>
    <w:rsid w:val="001C397D"/>
    <w:rsid w:val="001C39D0"/>
    <w:rsid w:val="001C3B5B"/>
    <w:rsid w:val="001C3B77"/>
    <w:rsid w:val="001C42C1"/>
    <w:rsid w:val="001C4496"/>
    <w:rsid w:val="001C4C1D"/>
    <w:rsid w:val="001C4CC8"/>
    <w:rsid w:val="001C4DCA"/>
    <w:rsid w:val="001C5026"/>
    <w:rsid w:val="001C52A6"/>
    <w:rsid w:val="001C52E0"/>
    <w:rsid w:val="001C53C4"/>
    <w:rsid w:val="001C55FA"/>
    <w:rsid w:val="001C561D"/>
    <w:rsid w:val="001C582C"/>
    <w:rsid w:val="001C5A2C"/>
    <w:rsid w:val="001C5A9A"/>
    <w:rsid w:val="001C5AA4"/>
    <w:rsid w:val="001C5B1A"/>
    <w:rsid w:val="001C5C61"/>
    <w:rsid w:val="001C5CD9"/>
    <w:rsid w:val="001C5DDE"/>
    <w:rsid w:val="001C5F4B"/>
    <w:rsid w:val="001C63DD"/>
    <w:rsid w:val="001C6417"/>
    <w:rsid w:val="001C6738"/>
    <w:rsid w:val="001C692F"/>
    <w:rsid w:val="001C6CD6"/>
    <w:rsid w:val="001C7083"/>
    <w:rsid w:val="001C714F"/>
    <w:rsid w:val="001C71D8"/>
    <w:rsid w:val="001C72CF"/>
    <w:rsid w:val="001C72DA"/>
    <w:rsid w:val="001D0560"/>
    <w:rsid w:val="001D0F08"/>
    <w:rsid w:val="001D12F0"/>
    <w:rsid w:val="001D174E"/>
    <w:rsid w:val="001D1ACC"/>
    <w:rsid w:val="001D1DAE"/>
    <w:rsid w:val="001D1F41"/>
    <w:rsid w:val="001D2754"/>
    <w:rsid w:val="001D2A32"/>
    <w:rsid w:val="001D2B7F"/>
    <w:rsid w:val="001D2EA7"/>
    <w:rsid w:val="001D2FB9"/>
    <w:rsid w:val="001D2FF4"/>
    <w:rsid w:val="001D3555"/>
    <w:rsid w:val="001D36DB"/>
    <w:rsid w:val="001D3B35"/>
    <w:rsid w:val="001D3ECD"/>
    <w:rsid w:val="001D42D4"/>
    <w:rsid w:val="001D4B4F"/>
    <w:rsid w:val="001D553B"/>
    <w:rsid w:val="001D55BA"/>
    <w:rsid w:val="001D55EB"/>
    <w:rsid w:val="001D5D5E"/>
    <w:rsid w:val="001D6160"/>
    <w:rsid w:val="001D6190"/>
    <w:rsid w:val="001D61F5"/>
    <w:rsid w:val="001D673D"/>
    <w:rsid w:val="001D6855"/>
    <w:rsid w:val="001D6971"/>
    <w:rsid w:val="001D6E27"/>
    <w:rsid w:val="001D7418"/>
    <w:rsid w:val="001D7C39"/>
    <w:rsid w:val="001D7C86"/>
    <w:rsid w:val="001D7E0B"/>
    <w:rsid w:val="001D7F98"/>
    <w:rsid w:val="001E0B36"/>
    <w:rsid w:val="001E0D1B"/>
    <w:rsid w:val="001E0D4A"/>
    <w:rsid w:val="001E0E0C"/>
    <w:rsid w:val="001E1092"/>
    <w:rsid w:val="001E1744"/>
    <w:rsid w:val="001E17A2"/>
    <w:rsid w:val="001E189E"/>
    <w:rsid w:val="001E193D"/>
    <w:rsid w:val="001E1FE9"/>
    <w:rsid w:val="001E213C"/>
    <w:rsid w:val="001E2447"/>
    <w:rsid w:val="001E2743"/>
    <w:rsid w:val="001E29BC"/>
    <w:rsid w:val="001E2BE6"/>
    <w:rsid w:val="001E302E"/>
    <w:rsid w:val="001E32BE"/>
    <w:rsid w:val="001E3441"/>
    <w:rsid w:val="001E35D7"/>
    <w:rsid w:val="001E370F"/>
    <w:rsid w:val="001E382F"/>
    <w:rsid w:val="001E3899"/>
    <w:rsid w:val="001E3B94"/>
    <w:rsid w:val="001E3D0C"/>
    <w:rsid w:val="001E3E62"/>
    <w:rsid w:val="001E3F90"/>
    <w:rsid w:val="001E407B"/>
    <w:rsid w:val="001E4201"/>
    <w:rsid w:val="001E44DC"/>
    <w:rsid w:val="001E4503"/>
    <w:rsid w:val="001E4AC7"/>
    <w:rsid w:val="001E4C9C"/>
    <w:rsid w:val="001E504C"/>
    <w:rsid w:val="001E5295"/>
    <w:rsid w:val="001E5343"/>
    <w:rsid w:val="001E5648"/>
    <w:rsid w:val="001E582E"/>
    <w:rsid w:val="001E58A5"/>
    <w:rsid w:val="001E5DF7"/>
    <w:rsid w:val="001E66CF"/>
    <w:rsid w:val="001E6D5F"/>
    <w:rsid w:val="001E6DBF"/>
    <w:rsid w:val="001E6E37"/>
    <w:rsid w:val="001E6F38"/>
    <w:rsid w:val="001E6F7E"/>
    <w:rsid w:val="001E7276"/>
    <w:rsid w:val="001E72C6"/>
    <w:rsid w:val="001E72E6"/>
    <w:rsid w:val="001E7486"/>
    <w:rsid w:val="001E767D"/>
    <w:rsid w:val="001E7740"/>
    <w:rsid w:val="001E7C0C"/>
    <w:rsid w:val="001F003A"/>
    <w:rsid w:val="001F0068"/>
    <w:rsid w:val="001F0280"/>
    <w:rsid w:val="001F07B5"/>
    <w:rsid w:val="001F0886"/>
    <w:rsid w:val="001F113D"/>
    <w:rsid w:val="001F1231"/>
    <w:rsid w:val="001F151E"/>
    <w:rsid w:val="001F169E"/>
    <w:rsid w:val="001F176C"/>
    <w:rsid w:val="001F177F"/>
    <w:rsid w:val="001F18AA"/>
    <w:rsid w:val="001F19BB"/>
    <w:rsid w:val="001F1BE8"/>
    <w:rsid w:val="001F1DA9"/>
    <w:rsid w:val="001F1FD9"/>
    <w:rsid w:val="001F20F7"/>
    <w:rsid w:val="001F22E2"/>
    <w:rsid w:val="001F234D"/>
    <w:rsid w:val="001F23EA"/>
    <w:rsid w:val="001F2443"/>
    <w:rsid w:val="001F24BD"/>
    <w:rsid w:val="001F27B0"/>
    <w:rsid w:val="001F2C04"/>
    <w:rsid w:val="001F2C61"/>
    <w:rsid w:val="001F2D55"/>
    <w:rsid w:val="001F2EE2"/>
    <w:rsid w:val="001F30F9"/>
    <w:rsid w:val="001F32EC"/>
    <w:rsid w:val="001F33AF"/>
    <w:rsid w:val="001F381F"/>
    <w:rsid w:val="001F38EF"/>
    <w:rsid w:val="001F394A"/>
    <w:rsid w:val="001F3B97"/>
    <w:rsid w:val="001F3C08"/>
    <w:rsid w:val="001F3E5A"/>
    <w:rsid w:val="001F4001"/>
    <w:rsid w:val="001F422F"/>
    <w:rsid w:val="001F4A8D"/>
    <w:rsid w:val="001F4B6E"/>
    <w:rsid w:val="001F4E3C"/>
    <w:rsid w:val="001F51E5"/>
    <w:rsid w:val="001F5817"/>
    <w:rsid w:val="001F5990"/>
    <w:rsid w:val="001F5BA5"/>
    <w:rsid w:val="001F5D6E"/>
    <w:rsid w:val="001F5DCA"/>
    <w:rsid w:val="001F5ED4"/>
    <w:rsid w:val="001F5F74"/>
    <w:rsid w:val="001F6003"/>
    <w:rsid w:val="001F600D"/>
    <w:rsid w:val="001F631F"/>
    <w:rsid w:val="001F6508"/>
    <w:rsid w:val="001F69D3"/>
    <w:rsid w:val="001F6B98"/>
    <w:rsid w:val="001F6BD9"/>
    <w:rsid w:val="001F6D68"/>
    <w:rsid w:val="001F7076"/>
    <w:rsid w:val="001F753D"/>
    <w:rsid w:val="001F7723"/>
    <w:rsid w:val="001F7D00"/>
    <w:rsid w:val="001F7D34"/>
    <w:rsid w:val="001F7E2F"/>
    <w:rsid w:val="001F7E5B"/>
    <w:rsid w:val="001F7E71"/>
    <w:rsid w:val="002006A9"/>
    <w:rsid w:val="00200830"/>
    <w:rsid w:val="00200E55"/>
    <w:rsid w:val="00201070"/>
    <w:rsid w:val="0020178B"/>
    <w:rsid w:val="00201830"/>
    <w:rsid w:val="00201C63"/>
    <w:rsid w:val="00201DBC"/>
    <w:rsid w:val="00201F67"/>
    <w:rsid w:val="002021CD"/>
    <w:rsid w:val="0020236D"/>
    <w:rsid w:val="00202413"/>
    <w:rsid w:val="0020246D"/>
    <w:rsid w:val="00202751"/>
    <w:rsid w:val="00202BD9"/>
    <w:rsid w:val="00202E8B"/>
    <w:rsid w:val="002033B1"/>
    <w:rsid w:val="0020346C"/>
    <w:rsid w:val="00203841"/>
    <w:rsid w:val="00203A3B"/>
    <w:rsid w:val="00204008"/>
    <w:rsid w:val="002042A0"/>
    <w:rsid w:val="002042D0"/>
    <w:rsid w:val="002044D2"/>
    <w:rsid w:val="0020459E"/>
    <w:rsid w:val="002049A5"/>
    <w:rsid w:val="002049A7"/>
    <w:rsid w:val="002049E8"/>
    <w:rsid w:val="00204C85"/>
    <w:rsid w:val="00205F39"/>
    <w:rsid w:val="0020601E"/>
    <w:rsid w:val="002063B0"/>
    <w:rsid w:val="0020662D"/>
    <w:rsid w:val="00206C2E"/>
    <w:rsid w:val="00206CAB"/>
    <w:rsid w:val="00206E57"/>
    <w:rsid w:val="00206EB8"/>
    <w:rsid w:val="00206F50"/>
    <w:rsid w:val="00207106"/>
    <w:rsid w:val="00207476"/>
    <w:rsid w:val="00207ACF"/>
    <w:rsid w:val="00210077"/>
    <w:rsid w:val="0021029A"/>
    <w:rsid w:val="002102A6"/>
    <w:rsid w:val="00210436"/>
    <w:rsid w:val="00210D11"/>
    <w:rsid w:val="00210FA9"/>
    <w:rsid w:val="002110A4"/>
    <w:rsid w:val="002110C5"/>
    <w:rsid w:val="0021116C"/>
    <w:rsid w:val="00211740"/>
    <w:rsid w:val="00211A1B"/>
    <w:rsid w:val="00211B90"/>
    <w:rsid w:val="00212022"/>
    <w:rsid w:val="00212207"/>
    <w:rsid w:val="0021223F"/>
    <w:rsid w:val="00212AE3"/>
    <w:rsid w:val="00212EAB"/>
    <w:rsid w:val="00212EF7"/>
    <w:rsid w:val="00213487"/>
    <w:rsid w:val="00213A67"/>
    <w:rsid w:val="00213BC6"/>
    <w:rsid w:val="00213BD3"/>
    <w:rsid w:val="002140F5"/>
    <w:rsid w:val="0021472A"/>
    <w:rsid w:val="00214867"/>
    <w:rsid w:val="00214B3D"/>
    <w:rsid w:val="00215269"/>
    <w:rsid w:val="00215472"/>
    <w:rsid w:val="00215590"/>
    <w:rsid w:val="002155C5"/>
    <w:rsid w:val="002157E1"/>
    <w:rsid w:val="002158B4"/>
    <w:rsid w:val="00215AE4"/>
    <w:rsid w:val="00216090"/>
    <w:rsid w:val="0021623E"/>
    <w:rsid w:val="00216294"/>
    <w:rsid w:val="00216513"/>
    <w:rsid w:val="0021657F"/>
    <w:rsid w:val="00216E02"/>
    <w:rsid w:val="00217191"/>
    <w:rsid w:val="002172F1"/>
    <w:rsid w:val="002173BD"/>
    <w:rsid w:val="002177EF"/>
    <w:rsid w:val="0021791F"/>
    <w:rsid w:val="002179F9"/>
    <w:rsid w:val="00217B44"/>
    <w:rsid w:val="00217B60"/>
    <w:rsid w:val="00220449"/>
    <w:rsid w:val="0022050C"/>
    <w:rsid w:val="00220638"/>
    <w:rsid w:val="0022069F"/>
    <w:rsid w:val="002206B2"/>
    <w:rsid w:val="00220D08"/>
    <w:rsid w:val="00220E83"/>
    <w:rsid w:val="002210D0"/>
    <w:rsid w:val="002211B0"/>
    <w:rsid w:val="002213EE"/>
    <w:rsid w:val="0022156D"/>
    <w:rsid w:val="00221676"/>
    <w:rsid w:val="002219D5"/>
    <w:rsid w:val="00221D32"/>
    <w:rsid w:val="00222161"/>
    <w:rsid w:val="00222749"/>
    <w:rsid w:val="0022284C"/>
    <w:rsid w:val="00222930"/>
    <w:rsid w:val="00222985"/>
    <w:rsid w:val="00222A5A"/>
    <w:rsid w:val="00222B15"/>
    <w:rsid w:val="00222B52"/>
    <w:rsid w:val="00222CC9"/>
    <w:rsid w:val="002230D0"/>
    <w:rsid w:val="00223220"/>
    <w:rsid w:val="0022334C"/>
    <w:rsid w:val="0022375C"/>
    <w:rsid w:val="00223F35"/>
    <w:rsid w:val="00223FCF"/>
    <w:rsid w:val="0022419B"/>
    <w:rsid w:val="0022436C"/>
    <w:rsid w:val="00224DB9"/>
    <w:rsid w:val="002256A2"/>
    <w:rsid w:val="00225B83"/>
    <w:rsid w:val="00225DB6"/>
    <w:rsid w:val="00226193"/>
    <w:rsid w:val="0022647B"/>
    <w:rsid w:val="002264E2"/>
    <w:rsid w:val="002265A2"/>
    <w:rsid w:val="002267BF"/>
    <w:rsid w:val="002268E2"/>
    <w:rsid w:val="0022742A"/>
    <w:rsid w:val="00227740"/>
    <w:rsid w:val="002278A6"/>
    <w:rsid w:val="00227D16"/>
    <w:rsid w:val="00230184"/>
    <w:rsid w:val="002303CE"/>
    <w:rsid w:val="00230714"/>
    <w:rsid w:val="00230CD6"/>
    <w:rsid w:val="0023207D"/>
    <w:rsid w:val="00232597"/>
    <w:rsid w:val="00232678"/>
    <w:rsid w:val="0023270A"/>
    <w:rsid w:val="002329FB"/>
    <w:rsid w:val="00232BEE"/>
    <w:rsid w:val="00232C6C"/>
    <w:rsid w:val="00232D91"/>
    <w:rsid w:val="00232E9A"/>
    <w:rsid w:val="00232ED1"/>
    <w:rsid w:val="00233B21"/>
    <w:rsid w:val="00233B9F"/>
    <w:rsid w:val="00233F2E"/>
    <w:rsid w:val="0023442C"/>
    <w:rsid w:val="00234477"/>
    <w:rsid w:val="0023486D"/>
    <w:rsid w:val="00234C7E"/>
    <w:rsid w:val="00234D85"/>
    <w:rsid w:val="00234DFB"/>
    <w:rsid w:val="00234E45"/>
    <w:rsid w:val="002352D7"/>
    <w:rsid w:val="0023532B"/>
    <w:rsid w:val="0023545F"/>
    <w:rsid w:val="002354A9"/>
    <w:rsid w:val="0023569B"/>
    <w:rsid w:val="002356E3"/>
    <w:rsid w:val="00235A2F"/>
    <w:rsid w:val="00235AF1"/>
    <w:rsid w:val="0023618A"/>
    <w:rsid w:val="002366C0"/>
    <w:rsid w:val="002367E4"/>
    <w:rsid w:val="0023693F"/>
    <w:rsid w:val="00236CB7"/>
    <w:rsid w:val="00236E8A"/>
    <w:rsid w:val="00236F3B"/>
    <w:rsid w:val="0023708F"/>
    <w:rsid w:val="00237240"/>
    <w:rsid w:val="00237448"/>
    <w:rsid w:val="002375F4"/>
    <w:rsid w:val="0023778F"/>
    <w:rsid w:val="00237D7E"/>
    <w:rsid w:val="00237E79"/>
    <w:rsid w:val="00237E83"/>
    <w:rsid w:val="00237F60"/>
    <w:rsid w:val="00237F69"/>
    <w:rsid w:val="00240309"/>
    <w:rsid w:val="00240647"/>
    <w:rsid w:val="002406DB"/>
    <w:rsid w:val="0024071B"/>
    <w:rsid w:val="00240A94"/>
    <w:rsid w:val="00241855"/>
    <w:rsid w:val="00241A02"/>
    <w:rsid w:val="00241A16"/>
    <w:rsid w:val="00241F39"/>
    <w:rsid w:val="0024257C"/>
    <w:rsid w:val="00242C8F"/>
    <w:rsid w:val="00242C9B"/>
    <w:rsid w:val="002432DF"/>
    <w:rsid w:val="00243485"/>
    <w:rsid w:val="0024348C"/>
    <w:rsid w:val="0024361D"/>
    <w:rsid w:val="0024398C"/>
    <w:rsid w:val="002439B5"/>
    <w:rsid w:val="0024423D"/>
    <w:rsid w:val="00244347"/>
    <w:rsid w:val="002447E8"/>
    <w:rsid w:val="002448DF"/>
    <w:rsid w:val="002448FD"/>
    <w:rsid w:val="00244965"/>
    <w:rsid w:val="002452AB"/>
    <w:rsid w:val="00245486"/>
    <w:rsid w:val="002455C9"/>
    <w:rsid w:val="0024589F"/>
    <w:rsid w:val="00246421"/>
    <w:rsid w:val="002465AB"/>
    <w:rsid w:val="00246879"/>
    <w:rsid w:val="00246947"/>
    <w:rsid w:val="00246EA7"/>
    <w:rsid w:val="0024703F"/>
    <w:rsid w:val="00247187"/>
    <w:rsid w:val="0024726E"/>
    <w:rsid w:val="00247568"/>
    <w:rsid w:val="00247750"/>
    <w:rsid w:val="00247839"/>
    <w:rsid w:val="00247AC3"/>
    <w:rsid w:val="0025059B"/>
    <w:rsid w:val="00250805"/>
    <w:rsid w:val="00250B31"/>
    <w:rsid w:val="00250BC1"/>
    <w:rsid w:val="00250C42"/>
    <w:rsid w:val="00250CDA"/>
    <w:rsid w:val="00250EF9"/>
    <w:rsid w:val="00251338"/>
    <w:rsid w:val="00251349"/>
    <w:rsid w:val="002513AF"/>
    <w:rsid w:val="00251D7C"/>
    <w:rsid w:val="00251DE6"/>
    <w:rsid w:val="002523CE"/>
    <w:rsid w:val="00252B80"/>
    <w:rsid w:val="00252C28"/>
    <w:rsid w:val="00252EF4"/>
    <w:rsid w:val="002530B3"/>
    <w:rsid w:val="0025325E"/>
    <w:rsid w:val="002539A4"/>
    <w:rsid w:val="00253A9E"/>
    <w:rsid w:val="00253B48"/>
    <w:rsid w:val="00253BE5"/>
    <w:rsid w:val="00253C57"/>
    <w:rsid w:val="00253EE5"/>
    <w:rsid w:val="002540FC"/>
    <w:rsid w:val="002540FF"/>
    <w:rsid w:val="00254499"/>
    <w:rsid w:val="00254556"/>
    <w:rsid w:val="0025459F"/>
    <w:rsid w:val="00254680"/>
    <w:rsid w:val="00254790"/>
    <w:rsid w:val="00254B30"/>
    <w:rsid w:val="00254D82"/>
    <w:rsid w:val="00254F14"/>
    <w:rsid w:val="00254F7C"/>
    <w:rsid w:val="00254FA1"/>
    <w:rsid w:val="00255088"/>
    <w:rsid w:val="002552F2"/>
    <w:rsid w:val="00255920"/>
    <w:rsid w:val="002559CD"/>
    <w:rsid w:val="002559FD"/>
    <w:rsid w:val="00255D4A"/>
    <w:rsid w:val="00255FC0"/>
    <w:rsid w:val="00256219"/>
    <w:rsid w:val="00256FB4"/>
    <w:rsid w:val="00257094"/>
    <w:rsid w:val="00257233"/>
    <w:rsid w:val="0025774D"/>
    <w:rsid w:val="0025775C"/>
    <w:rsid w:val="002579D4"/>
    <w:rsid w:val="00260581"/>
    <w:rsid w:val="002606F4"/>
    <w:rsid w:val="00260B4C"/>
    <w:rsid w:val="00260BCD"/>
    <w:rsid w:val="00260CC2"/>
    <w:rsid w:val="00260EBD"/>
    <w:rsid w:val="00261421"/>
    <w:rsid w:val="00261529"/>
    <w:rsid w:val="002615FA"/>
    <w:rsid w:val="00261C44"/>
    <w:rsid w:val="00261DB4"/>
    <w:rsid w:val="00261FCE"/>
    <w:rsid w:val="0026242A"/>
    <w:rsid w:val="00262586"/>
    <w:rsid w:val="00262803"/>
    <w:rsid w:val="00262CCC"/>
    <w:rsid w:val="0026332F"/>
    <w:rsid w:val="002633AA"/>
    <w:rsid w:val="00263519"/>
    <w:rsid w:val="0026376E"/>
    <w:rsid w:val="002639CB"/>
    <w:rsid w:val="00263A84"/>
    <w:rsid w:val="00263CE9"/>
    <w:rsid w:val="002645BE"/>
    <w:rsid w:val="002648D5"/>
    <w:rsid w:val="00264B48"/>
    <w:rsid w:val="00265410"/>
    <w:rsid w:val="002658A8"/>
    <w:rsid w:val="002658C5"/>
    <w:rsid w:val="002659B8"/>
    <w:rsid w:val="00265D4E"/>
    <w:rsid w:val="00265E56"/>
    <w:rsid w:val="00265E8A"/>
    <w:rsid w:val="00266089"/>
    <w:rsid w:val="00266432"/>
    <w:rsid w:val="0026660A"/>
    <w:rsid w:val="00266749"/>
    <w:rsid w:val="00266A26"/>
    <w:rsid w:val="00266B32"/>
    <w:rsid w:val="00266D7F"/>
    <w:rsid w:val="00267356"/>
    <w:rsid w:val="002673E5"/>
    <w:rsid w:val="00267471"/>
    <w:rsid w:val="00267478"/>
    <w:rsid w:val="00267553"/>
    <w:rsid w:val="0026762D"/>
    <w:rsid w:val="0026777F"/>
    <w:rsid w:val="00267816"/>
    <w:rsid w:val="00267B3B"/>
    <w:rsid w:val="00267C6F"/>
    <w:rsid w:val="00267C9C"/>
    <w:rsid w:val="00267CF4"/>
    <w:rsid w:val="00267DB9"/>
    <w:rsid w:val="00270070"/>
    <w:rsid w:val="00270292"/>
    <w:rsid w:val="0027069D"/>
    <w:rsid w:val="00270792"/>
    <w:rsid w:val="002707BD"/>
    <w:rsid w:val="002708BA"/>
    <w:rsid w:val="002710B5"/>
    <w:rsid w:val="0027113D"/>
    <w:rsid w:val="0027122D"/>
    <w:rsid w:val="00271276"/>
    <w:rsid w:val="00271425"/>
    <w:rsid w:val="002714BC"/>
    <w:rsid w:val="00271628"/>
    <w:rsid w:val="00271769"/>
    <w:rsid w:val="00271B2F"/>
    <w:rsid w:val="00271CEF"/>
    <w:rsid w:val="00271FB1"/>
    <w:rsid w:val="00272000"/>
    <w:rsid w:val="0027205B"/>
    <w:rsid w:val="00272293"/>
    <w:rsid w:val="00272310"/>
    <w:rsid w:val="00272467"/>
    <w:rsid w:val="00272BB9"/>
    <w:rsid w:val="00272D35"/>
    <w:rsid w:val="00272DB5"/>
    <w:rsid w:val="00272FEC"/>
    <w:rsid w:val="002735C6"/>
    <w:rsid w:val="00273D03"/>
    <w:rsid w:val="00273D53"/>
    <w:rsid w:val="00273F48"/>
    <w:rsid w:val="002741DC"/>
    <w:rsid w:val="0027425B"/>
    <w:rsid w:val="00274552"/>
    <w:rsid w:val="002746A3"/>
    <w:rsid w:val="002746A5"/>
    <w:rsid w:val="00274A49"/>
    <w:rsid w:val="00274CDE"/>
    <w:rsid w:val="00274CE6"/>
    <w:rsid w:val="00274F1B"/>
    <w:rsid w:val="002753AF"/>
    <w:rsid w:val="00275638"/>
    <w:rsid w:val="0027587B"/>
    <w:rsid w:val="00275E66"/>
    <w:rsid w:val="002761AE"/>
    <w:rsid w:val="002761BE"/>
    <w:rsid w:val="002762BB"/>
    <w:rsid w:val="002765D3"/>
    <w:rsid w:val="00276994"/>
    <w:rsid w:val="00276D92"/>
    <w:rsid w:val="00276FC9"/>
    <w:rsid w:val="002770DA"/>
    <w:rsid w:val="00277540"/>
    <w:rsid w:val="00277A9D"/>
    <w:rsid w:val="00277C2A"/>
    <w:rsid w:val="00277EEA"/>
    <w:rsid w:val="00277F95"/>
    <w:rsid w:val="002800F0"/>
    <w:rsid w:val="0028036D"/>
    <w:rsid w:val="00280423"/>
    <w:rsid w:val="00280550"/>
    <w:rsid w:val="002805DA"/>
    <w:rsid w:val="00280667"/>
    <w:rsid w:val="00281240"/>
    <w:rsid w:val="00281283"/>
    <w:rsid w:val="002813BD"/>
    <w:rsid w:val="00281449"/>
    <w:rsid w:val="00281607"/>
    <w:rsid w:val="00281941"/>
    <w:rsid w:val="00281AF6"/>
    <w:rsid w:val="00281B49"/>
    <w:rsid w:val="00281C3E"/>
    <w:rsid w:val="00281E8A"/>
    <w:rsid w:val="00281EE7"/>
    <w:rsid w:val="00281F36"/>
    <w:rsid w:val="0028254D"/>
    <w:rsid w:val="0028258A"/>
    <w:rsid w:val="002829B9"/>
    <w:rsid w:val="00282D4E"/>
    <w:rsid w:val="002831BA"/>
    <w:rsid w:val="002835A7"/>
    <w:rsid w:val="002835D7"/>
    <w:rsid w:val="00283ADB"/>
    <w:rsid w:val="00283B22"/>
    <w:rsid w:val="00283C5D"/>
    <w:rsid w:val="00283E6D"/>
    <w:rsid w:val="00283F56"/>
    <w:rsid w:val="00284140"/>
    <w:rsid w:val="00284170"/>
    <w:rsid w:val="002847CA"/>
    <w:rsid w:val="00284820"/>
    <w:rsid w:val="002848A9"/>
    <w:rsid w:val="00284A16"/>
    <w:rsid w:val="00284B01"/>
    <w:rsid w:val="00284B23"/>
    <w:rsid w:val="00284EC8"/>
    <w:rsid w:val="00284F1F"/>
    <w:rsid w:val="00285D79"/>
    <w:rsid w:val="0028667D"/>
    <w:rsid w:val="00286C09"/>
    <w:rsid w:val="00286CC5"/>
    <w:rsid w:val="00286FA3"/>
    <w:rsid w:val="0028798E"/>
    <w:rsid w:val="002879A3"/>
    <w:rsid w:val="00287A65"/>
    <w:rsid w:val="00287DEB"/>
    <w:rsid w:val="00287F9F"/>
    <w:rsid w:val="00290169"/>
    <w:rsid w:val="002901E7"/>
    <w:rsid w:val="002908D2"/>
    <w:rsid w:val="00290C19"/>
    <w:rsid w:val="002911A5"/>
    <w:rsid w:val="0029122A"/>
    <w:rsid w:val="002912F9"/>
    <w:rsid w:val="0029183F"/>
    <w:rsid w:val="00291941"/>
    <w:rsid w:val="00291AB4"/>
    <w:rsid w:val="00291C7C"/>
    <w:rsid w:val="00291D6B"/>
    <w:rsid w:val="00291F71"/>
    <w:rsid w:val="00292225"/>
    <w:rsid w:val="002927FE"/>
    <w:rsid w:val="0029286C"/>
    <w:rsid w:val="0029291F"/>
    <w:rsid w:val="00292D0B"/>
    <w:rsid w:val="002935FF"/>
    <w:rsid w:val="002938C7"/>
    <w:rsid w:val="00293910"/>
    <w:rsid w:val="00293C07"/>
    <w:rsid w:val="00293D7C"/>
    <w:rsid w:val="002945E3"/>
    <w:rsid w:val="002947B2"/>
    <w:rsid w:val="002949DC"/>
    <w:rsid w:val="00294A65"/>
    <w:rsid w:val="00294AE9"/>
    <w:rsid w:val="00294B6F"/>
    <w:rsid w:val="00295023"/>
    <w:rsid w:val="002950DB"/>
    <w:rsid w:val="002950FF"/>
    <w:rsid w:val="00295236"/>
    <w:rsid w:val="00295423"/>
    <w:rsid w:val="002957F9"/>
    <w:rsid w:val="00295C9D"/>
    <w:rsid w:val="00295CB0"/>
    <w:rsid w:val="00295F2E"/>
    <w:rsid w:val="00296041"/>
    <w:rsid w:val="00296A6E"/>
    <w:rsid w:val="00296CEE"/>
    <w:rsid w:val="00297360"/>
    <w:rsid w:val="002974DE"/>
    <w:rsid w:val="002975C5"/>
    <w:rsid w:val="00297651"/>
    <w:rsid w:val="002977CD"/>
    <w:rsid w:val="002979F9"/>
    <w:rsid w:val="00297AD6"/>
    <w:rsid w:val="00297E07"/>
    <w:rsid w:val="00297E4D"/>
    <w:rsid w:val="002A0063"/>
    <w:rsid w:val="002A03E8"/>
    <w:rsid w:val="002A0784"/>
    <w:rsid w:val="002A09DC"/>
    <w:rsid w:val="002A0B62"/>
    <w:rsid w:val="002A0CAF"/>
    <w:rsid w:val="002A128F"/>
    <w:rsid w:val="002A12D9"/>
    <w:rsid w:val="002A13D4"/>
    <w:rsid w:val="002A155B"/>
    <w:rsid w:val="002A1867"/>
    <w:rsid w:val="002A19A8"/>
    <w:rsid w:val="002A1C54"/>
    <w:rsid w:val="002A1FE9"/>
    <w:rsid w:val="002A29F6"/>
    <w:rsid w:val="002A2A5E"/>
    <w:rsid w:val="002A3144"/>
    <w:rsid w:val="002A315E"/>
    <w:rsid w:val="002A316B"/>
    <w:rsid w:val="002A34A9"/>
    <w:rsid w:val="002A3873"/>
    <w:rsid w:val="002A393E"/>
    <w:rsid w:val="002A394E"/>
    <w:rsid w:val="002A3A41"/>
    <w:rsid w:val="002A40D2"/>
    <w:rsid w:val="002A4B6D"/>
    <w:rsid w:val="002A4D9A"/>
    <w:rsid w:val="002A5023"/>
    <w:rsid w:val="002A5095"/>
    <w:rsid w:val="002A555E"/>
    <w:rsid w:val="002A590F"/>
    <w:rsid w:val="002A637D"/>
    <w:rsid w:val="002A6464"/>
    <w:rsid w:val="002A6475"/>
    <w:rsid w:val="002A6773"/>
    <w:rsid w:val="002A6C61"/>
    <w:rsid w:val="002A6E84"/>
    <w:rsid w:val="002A7B15"/>
    <w:rsid w:val="002A7CE1"/>
    <w:rsid w:val="002A7EEF"/>
    <w:rsid w:val="002B0092"/>
    <w:rsid w:val="002B0123"/>
    <w:rsid w:val="002B0182"/>
    <w:rsid w:val="002B0492"/>
    <w:rsid w:val="002B0AE6"/>
    <w:rsid w:val="002B0DD7"/>
    <w:rsid w:val="002B1038"/>
    <w:rsid w:val="002B13CB"/>
    <w:rsid w:val="002B1F00"/>
    <w:rsid w:val="002B1FB2"/>
    <w:rsid w:val="002B241E"/>
    <w:rsid w:val="002B2ABB"/>
    <w:rsid w:val="002B2AFB"/>
    <w:rsid w:val="002B2CD7"/>
    <w:rsid w:val="002B2D5B"/>
    <w:rsid w:val="002B2F50"/>
    <w:rsid w:val="002B321E"/>
    <w:rsid w:val="002B3532"/>
    <w:rsid w:val="002B3810"/>
    <w:rsid w:val="002B38D5"/>
    <w:rsid w:val="002B3A12"/>
    <w:rsid w:val="002B3E1A"/>
    <w:rsid w:val="002B3F5D"/>
    <w:rsid w:val="002B4127"/>
    <w:rsid w:val="002B4637"/>
    <w:rsid w:val="002B4AA3"/>
    <w:rsid w:val="002B4F0E"/>
    <w:rsid w:val="002B510D"/>
    <w:rsid w:val="002B55EE"/>
    <w:rsid w:val="002B597C"/>
    <w:rsid w:val="002B5DDF"/>
    <w:rsid w:val="002B6BC7"/>
    <w:rsid w:val="002B6E5B"/>
    <w:rsid w:val="002B6E81"/>
    <w:rsid w:val="002B7078"/>
    <w:rsid w:val="002B760E"/>
    <w:rsid w:val="002B7A3C"/>
    <w:rsid w:val="002B7E47"/>
    <w:rsid w:val="002B7F34"/>
    <w:rsid w:val="002C00CB"/>
    <w:rsid w:val="002C0202"/>
    <w:rsid w:val="002C0607"/>
    <w:rsid w:val="002C075A"/>
    <w:rsid w:val="002C0971"/>
    <w:rsid w:val="002C1125"/>
    <w:rsid w:val="002C115B"/>
    <w:rsid w:val="002C1216"/>
    <w:rsid w:val="002C17F8"/>
    <w:rsid w:val="002C1A69"/>
    <w:rsid w:val="002C1BAA"/>
    <w:rsid w:val="002C1D1C"/>
    <w:rsid w:val="002C1DB7"/>
    <w:rsid w:val="002C1E33"/>
    <w:rsid w:val="002C1F27"/>
    <w:rsid w:val="002C2103"/>
    <w:rsid w:val="002C220D"/>
    <w:rsid w:val="002C2513"/>
    <w:rsid w:val="002C2566"/>
    <w:rsid w:val="002C2600"/>
    <w:rsid w:val="002C2840"/>
    <w:rsid w:val="002C28EB"/>
    <w:rsid w:val="002C290B"/>
    <w:rsid w:val="002C2AE3"/>
    <w:rsid w:val="002C2C9F"/>
    <w:rsid w:val="002C2D42"/>
    <w:rsid w:val="002C2FCF"/>
    <w:rsid w:val="002C3511"/>
    <w:rsid w:val="002C369B"/>
    <w:rsid w:val="002C37A9"/>
    <w:rsid w:val="002C3803"/>
    <w:rsid w:val="002C3824"/>
    <w:rsid w:val="002C39B7"/>
    <w:rsid w:val="002C3C94"/>
    <w:rsid w:val="002C3EA9"/>
    <w:rsid w:val="002C41B1"/>
    <w:rsid w:val="002C467A"/>
    <w:rsid w:val="002C4F55"/>
    <w:rsid w:val="002C51D8"/>
    <w:rsid w:val="002C54AF"/>
    <w:rsid w:val="002C5650"/>
    <w:rsid w:val="002C56F8"/>
    <w:rsid w:val="002C5828"/>
    <w:rsid w:val="002C5A4E"/>
    <w:rsid w:val="002C5C03"/>
    <w:rsid w:val="002C5D81"/>
    <w:rsid w:val="002C5E2C"/>
    <w:rsid w:val="002C5F40"/>
    <w:rsid w:val="002C5F9F"/>
    <w:rsid w:val="002C640E"/>
    <w:rsid w:val="002C6568"/>
    <w:rsid w:val="002C65FE"/>
    <w:rsid w:val="002C6694"/>
    <w:rsid w:val="002C6949"/>
    <w:rsid w:val="002C69B5"/>
    <w:rsid w:val="002C6B10"/>
    <w:rsid w:val="002C6B38"/>
    <w:rsid w:val="002C6D5C"/>
    <w:rsid w:val="002C6DD9"/>
    <w:rsid w:val="002C6ECD"/>
    <w:rsid w:val="002C71F9"/>
    <w:rsid w:val="002C77B4"/>
    <w:rsid w:val="002C792D"/>
    <w:rsid w:val="002C7B42"/>
    <w:rsid w:val="002C7DBF"/>
    <w:rsid w:val="002C7EFE"/>
    <w:rsid w:val="002C7F06"/>
    <w:rsid w:val="002D05A3"/>
    <w:rsid w:val="002D0640"/>
    <w:rsid w:val="002D07AF"/>
    <w:rsid w:val="002D0A8F"/>
    <w:rsid w:val="002D0B28"/>
    <w:rsid w:val="002D0CA8"/>
    <w:rsid w:val="002D0D29"/>
    <w:rsid w:val="002D1211"/>
    <w:rsid w:val="002D176B"/>
    <w:rsid w:val="002D1A64"/>
    <w:rsid w:val="002D1A77"/>
    <w:rsid w:val="002D20DD"/>
    <w:rsid w:val="002D220A"/>
    <w:rsid w:val="002D22ED"/>
    <w:rsid w:val="002D24D8"/>
    <w:rsid w:val="002D2902"/>
    <w:rsid w:val="002D2AA7"/>
    <w:rsid w:val="002D2D94"/>
    <w:rsid w:val="002D2EE4"/>
    <w:rsid w:val="002D30BF"/>
    <w:rsid w:val="002D3126"/>
    <w:rsid w:val="002D31A3"/>
    <w:rsid w:val="002D342A"/>
    <w:rsid w:val="002D4150"/>
    <w:rsid w:val="002D431E"/>
    <w:rsid w:val="002D4360"/>
    <w:rsid w:val="002D460C"/>
    <w:rsid w:val="002D485B"/>
    <w:rsid w:val="002D4F14"/>
    <w:rsid w:val="002D50D1"/>
    <w:rsid w:val="002D533E"/>
    <w:rsid w:val="002D5516"/>
    <w:rsid w:val="002D563A"/>
    <w:rsid w:val="002D5749"/>
    <w:rsid w:val="002D5A1B"/>
    <w:rsid w:val="002D5CAB"/>
    <w:rsid w:val="002D5D74"/>
    <w:rsid w:val="002D5DA4"/>
    <w:rsid w:val="002D5DCE"/>
    <w:rsid w:val="002D5E61"/>
    <w:rsid w:val="002D6196"/>
    <w:rsid w:val="002D63B4"/>
    <w:rsid w:val="002D6660"/>
    <w:rsid w:val="002D6CB5"/>
    <w:rsid w:val="002D6E8B"/>
    <w:rsid w:val="002D6FF3"/>
    <w:rsid w:val="002D72FF"/>
    <w:rsid w:val="002D76C6"/>
    <w:rsid w:val="002D76CA"/>
    <w:rsid w:val="002D7ED8"/>
    <w:rsid w:val="002D7F87"/>
    <w:rsid w:val="002E001A"/>
    <w:rsid w:val="002E0219"/>
    <w:rsid w:val="002E05E5"/>
    <w:rsid w:val="002E07D6"/>
    <w:rsid w:val="002E0C75"/>
    <w:rsid w:val="002E0E03"/>
    <w:rsid w:val="002E12E4"/>
    <w:rsid w:val="002E149F"/>
    <w:rsid w:val="002E18DD"/>
    <w:rsid w:val="002E1AD7"/>
    <w:rsid w:val="002E1B9D"/>
    <w:rsid w:val="002E1C86"/>
    <w:rsid w:val="002E1D8C"/>
    <w:rsid w:val="002E2124"/>
    <w:rsid w:val="002E238D"/>
    <w:rsid w:val="002E23D6"/>
    <w:rsid w:val="002E2551"/>
    <w:rsid w:val="002E25EB"/>
    <w:rsid w:val="002E2848"/>
    <w:rsid w:val="002E3501"/>
    <w:rsid w:val="002E3A00"/>
    <w:rsid w:val="002E3C5F"/>
    <w:rsid w:val="002E3CB0"/>
    <w:rsid w:val="002E431A"/>
    <w:rsid w:val="002E4481"/>
    <w:rsid w:val="002E4560"/>
    <w:rsid w:val="002E45A5"/>
    <w:rsid w:val="002E4E41"/>
    <w:rsid w:val="002E5B74"/>
    <w:rsid w:val="002E5DDF"/>
    <w:rsid w:val="002E5F19"/>
    <w:rsid w:val="002E5FFA"/>
    <w:rsid w:val="002E61D0"/>
    <w:rsid w:val="002E69E4"/>
    <w:rsid w:val="002E6DA9"/>
    <w:rsid w:val="002E7177"/>
    <w:rsid w:val="002E7494"/>
    <w:rsid w:val="002E7546"/>
    <w:rsid w:val="002E7746"/>
    <w:rsid w:val="002E77B9"/>
    <w:rsid w:val="002E7827"/>
    <w:rsid w:val="002E7D3C"/>
    <w:rsid w:val="002E7EA6"/>
    <w:rsid w:val="002F05EA"/>
    <w:rsid w:val="002F069D"/>
    <w:rsid w:val="002F0883"/>
    <w:rsid w:val="002F092E"/>
    <w:rsid w:val="002F0E9C"/>
    <w:rsid w:val="002F0EBA"/>
    <w:rsid w:val="002F0FE8"/>
    <w:rsid w:val="002F1158"/>
    <w:rsid w:val="002F11B4"/>
    <w:rsid w:val="002F144D"/>
    <w:rsid w:val="002F17BB"/>
    <w:rsid w:val="002F1817"/>
    <w:rsid w:val="002F1848"/>
    <w:rsid w:val="002F1861"/>
    <w:rsid w:val="002F1B90"/>
    <w:rsid w:val="002F1CCA"/>
    <w:rsid w:val="002F1F75"/>
    <w:rsid w:val="002F20C3"/>
    <w:rsid w:val="002F2256"/>
    <w:rsid w:val="002F225E"/>
    <w:rsid w:val="002F2660"/>
    <w:rsid w:val="002F2828"/>
    <w:rsid w:val="002F2CD9"/>
    <w:rsid w:val="002F2F5F"/>
    <w:rsid w:val="002F3C7C"/>
    <w:rsid w:val="002F3D50"/>
    <w:rsid w:val="002F3E2D"/>
    <w:rsid w:val="002F434F"/>
    <w:rsid w:val="002F440D"/>
    <w:rsid w:val="002F452D"/>
    <w:rsid w:val="002F495D"/>
    <w:rsid w:val="002F4C9A"/>
    <w:rsid w:val="002F4D64"/>
    <w:rsid w:val="002F4DFF"/>
    <w:rsid w:val="002F51A4"/>
    <w:rsid w:val="002F579B"/>
    <w:rsid w:val="002F5A1B"/>
    <w:rsid w:val="002F5AFA"/>
    <w:rsid w:val="002F5B3E"/>
    <w:rsid w:val="002F5C5A"/>
    <w:rsid w:val="002F5EE5"/>
    <w:rsid w:val="002F60D0"/>
    <w:rsid w:val="002F6246"/>
    <w:rsid w:val="002F6484"/>
    <w:rsid w:val="002F6D24"/>
    <w:rsid w:val="002F6DC6"/>
    <w:rsid w:val="002F71AB"/>
    <w:rsid w:val="002F720A"/>
    <w:rsid w:val="002F7730"/>
    <w:rsid w:val="00300061"/>
    <w:rsid w:val="00300296"/>
    <w:rsid w:val="0030045E"/>
    <w:rsid w:val="003006B6"/>
    <w:rsid w:val="00300785"/>
    <w:rsid w:val="00300829"/>
    <w:rsid w:val="00300995"/>
    <w:rsid w:val="00300A29"/>
    <w:rsid w:val="00300D94"/>
    <w:rsid w:val="00300EDE"/>
    <w:rsid w:val="00301919"/>
    <w:rsid w:val="00301D28"/>
    <w:rsid w:val="00301D69"/>
    <w:rsid w:val="00302158"/>
    <w:rsid w:val="0030230B"/>
    <w:rsid w:val="00302349"/>
    <w:rsid w:val="003024E3"/>
    <w:rsid w:val="00302646"/>
    <w:rsid w:val="00302944"/>
    <w:rsid w:val="00302D8F"/>
    <w:rsid w:val="0030389D"/>
    <w:rsid w:val="00303CA2"/>
    <w:rsid w:val="00303DC3"/>
    <w:rsid w:val="00303E18"/>
    <w:rsid w:val="00304CB6"/>
    <w:rsid w:val="00304D79"/>
    <w:rsid w:val="00304FE8"/>
    <w:rsid w:val="003052F3"/>
    <w:rsid w:val="003054BD"/>
    <w:rsid w:val="003055DA"/>
    <w:rsid w:val="00305940"/>
    <w:rsid w:val="00305AC7"/>
    <w:rsid w:val="00305CCB"/>
    <w:rsid w:val="00306620"/>
    <w:rsid w:val="0030662F"/>
    <w:rsid w:val="003067A7"/>
    <w:rsid w:val="00307195"/>
    <w:rsid w:val="00307C8D"/>
    <w:rsid w:val="00310236"/>
    <w:rsid w:val="003104FF"/>
    <w:rsid w:val="0031057A"/>
    <w:rsid w:val="00310807"/>
    <w:rsid w:val="00310831"/>
    <w:rsid w:val="00310B07"/>
    <w:rsid w:val="00310B18"/>
    <w:rsid w:val="00310C5A"/>
    <w:rsid w:val="00310CDF"/>
    <w:rsid w:val="0031118D"/>
    <w:rsid w:val="0031125C"/>
    <w:rsid w:val="0031153B"/>
    <w:rsid w:val="00311723"/>
    <w:rsid w:val="00311AFD"/>
    <w:rsid w:val="00311CA9"/>
    <w:rsid w:val="00311E83"/>
    <w:rsid w:val="00311FB1"/>
    <w:rsid w:val="003121F4"/>
    <w:rsid w:val="003122B1"/>
    <w:rsid w:val="00312576"/>
    <w:rsid w:val="0031309D"/>
    <w:rsid w:val="00313946"/>
    <w:rsid w:val="00313E82"/>
    <w:rsid w:val="00313F76"/>
    <w:rsid w:val="00314456"/>
    <w:rsid w:val="003147D3"/>
    <w:rsid w:val="00314A7D"/>
    <w:rsid w:val="00314CA8"/>
    <w:rsid w:val="00314D41"/>
    <w:rsid w:val="00314DD8"/>
    <w:rsid w:val="00314EA7"/>
    <w:rsid w:val="00314FF9"/>
    <w:rsid w:val="003150CB"/>
    <w:rsid w:val="003152C5"/>
    <w:rsid w:val="0031557E"/>
    <w:rsid w:val="00315776"/>
    <w:rsid w:val="00315895"/>
    <w:rsid w:val="00315926"/>
    <w:rsid w:val="00315DFA"/>
    <w:rsid w:val="00315EA6"/>
    <w:rsid w:val="00315F8A"/>
    <w:rsid w:val="00316075"/>
    <w:rsid w:val="003161AD"/>
    <w:rsid w:val="003163B8"/>
    <w:rsid w:val="003165EE"/>
    <w:rsid w:val="003166EE"/>
    <w:rsid w:val="00316B56"/>
    <w:rsid w:val="00316C8D"/>
    <w:rsid w:val="0031700E"/>
    <w:rsid w:val="00317280"/>
    <w:rsid w:val="0031731A"/>
    <w:rsid w:val="0031782A"/>
    <w:rsid w:val="003178A4"/>
    <w:rsid w:val="00317B7B"/>
    <w:rsid w:val="00317C5F"/>
    <w:rsid w:val="00317CEF"/>
    <w:rsid w:val="00317FB2"/>
    <w:rsid w:val="00320041"/>
    <w:rsid w:val="00320659"/>
    <w:rsid w:val="003209B3"/>
    <w:rsid w:val="00320BF4"/>
    <w:rsid w:val="00320EE8"/>
    <w:rsid w:val="0032112E"/>
    <w:rsid w:val="00321ACD"/>
    <w:rsid w:val="00321C65"/>
    <w:rsid w:val="00321DA9"/>
    <w:rsid w:val="00321DF8"/>
    <w:rsid w:val="00321F40"/>
    <w:rsid w:val="0032214B"/>
    <w:rsid w:val="003224CE"/>
    <w:rsid w:val="003225BC"/>
    <w:rsid w:val="0032264C"/>
    <w:rsid w:val="003226B0"/>
    <w:rsid w:val="00322775"/>
    <w:rsid w:val="00322EE8"/>
    <w:rsid w:val="00323079"/>
    <w:rsid w:val="00323153"/>
    <w:rsid w:val="003232C6"/>
    <w:rsid w:val="0032333C"/>
    <w:rsid w:val="003236E1"/>
    <w:rsid w:val="00323933"/>
    <w:rsid w:val="003239FC"/>
    <w:rsid w:val="00323BE9"/>
    <w:rsid w:val="00323CFC"/>
    <w:rsid w:val="003242C0"/>
    <w:rsid w:val="003246B7"/>
    <w:rsid w:val="003246F9"/>
    <w:rsid w:val="0032493A"/>
    <w:rsid w:val="00324AB3"/>
    <w:rsid w:val="00324B65"/>
    <w:rsid w:val="00324E50"/>
    <w:rsid w:val="00325425"/>
    <w:rsid w:val="00325456"/>
    <w:rsid w:val="00325938"/>
    <w:rsid w:val="003259F6"/>
    <w:rsid w:val="00325A16"/>
    <w:rsid w:val="00325AB4"/>
    <w:rsid w:val="00326164"/>
    <w:rsid w:val="003261E3"/>
    <w:rsid w:val="003262EB"/>
    <w:rsid w:val="0032682C"/>
    <w:rsid w:val="00326B9D"/>
    <w:rsid w:val="0032705C"/>
    <w:rsid w:val="00327FCB"/>
    <w:rsid w:val="003300A4"/>
    <w:rsid w:val="0033016A"/>
    <w:rsid w:val="00330619"/>
    <w:rsid w:val="003306AF"/>
    <w:rsid w:val="0033073C"/>
    <w:rsid w:val="003309E9"/>
    <w:rsid w:val="00330AC4"/>
    <w:rsid w:val="00331283"/>
    <w:rsid w:val="003314B8"/>
    <w:rsid w:val="003315BD"/>
    <w:rsid w:val="0033174C"/>
    <w:rsid w:val="0033189F"/>
    <w:rsid w:val="003319DE"/>
    <w:rsid w:val="00331D19"/>
    <w:rsid w:val="00331E1A"/>
    <w:rsid w:val="00332773"/>
    <w:rsid w:val="0033284C"/>
    <w:rsid w:val="003332BD"/>
    <w:rsid w:val="00333390"/>
    <w:rsid w:val="0033343D"/>
    <w:rsid w:val="003335DE"/>
    <w:rsid w:val="00333B53"/>
    <w:rsid w:val="00333CF8"/>
    <w:rsid w:val="00333DF3"/>
    <w:rsid w:val="00333E82"/>
    <w:rsid w:val="00334048"/>
    <w:rsid w:val="0033424C"/>
    <w:rsid w:val="0033493A"/>
    <w:rsid w:val="00334A7B"/>
    <w:rsid w:val="00334AF0"/>
    <w:rsid w:val="00334B33"/>
    <w:rsid w:val="00334D29"/>
    <w:rsid w:val="00335037"/>
    <w:rsid w:val="00335783"/>
    <w:rsid w:val="003358AF"/>
    <w:rsid w:val="003359AD"/>
    <w:rsid w:val="00335A7F"/>
    <w:rsid w:val="00335E04"/>
    <w:rsid w:val="003362E3"/>
    <w:rsid w:val="0033647C"/>
    <w:rsid w:val="003368FD"/>
    <w:rsid w:val="00336A6D"/>
    <w:rsid w:val="00336A7B"/>
    <w:rsid w:val="00337DFB"/>
    <w:rsid w:val="0034028D"/>
    <w:rsid w:val="00340296"/>
    <w:rsid w:val="003404CF"/>
    <w:rsid w:val="0034067B"/>
    <w:rsid w:val="00340993"/>
    <w:rsid w:val="00340AB0"/>
    <w:rsid w:val="003418C7"/>
    <w:rsid w:val="00341E5E"/>
    <w:rsid w:val="00342601"/>
    <w:rsid w:val="0034263C"/>
    <w:rsid w:val="00342684"/>
    <w:rsid w:val="00342881"/>
    <w:rsid w:val="003428BE"/>
    <w:rsid w:val="0034309F"/>
    <w:rsid w:val="00343152"/>
    <w:rsid w:val="003431EE"/>
    <w:rsid w:val="003433F8"/>
    <w:rsid w:val="0034344D"/>
    <w:rsid w:val="0034393E"/>
    <w:rsid w:val="00343ACC"/>
    <w:rsid w:val="00343C10"/>
    <w:rsid w:val="00343CDB"/>
    <w:rsid w:val="003443CD"/>
    <w:rsid w:val="0034487A"/>
    <w:rsid w:val="00344A12"/>
    <w:rsid w:val="00345162"/>
    <w:rsid w:val="00345359"/>
    <w:rsid w:val="003456DB"/>
    <w:rsid w:val="00345A15"/>
    <w:rsid w:val="00345E61"/>
    <w:rsid w:val="00345E97"/>
    <w:rsid w:val="003460D0"/>
    <w:rsid w:val="00346285"/>
    <w:rsid w:val="00346287"/>
    <w:rsid w:val="003467E9"/>
    <w:rsid w:val="00346E38"/>
    <w:rsid w:val="00346EA7"/>
    <w:rsid w:val="00346F35"/>
    <w:rsid w:val="0034704F"/>
    <w:rsid w:val="00347067"/>
    <w:rsid w:val="0034778E"/>
    <w:rsid w:val="00347AD4"/>
    <w:rsid w:val="003503D9"/>
    <w:rsid w:val="00350412"/>
    <w:rsid w:val="0035042C"/>
    <w:rsid w:val="003504DF"/>
    <w:rsid w:val="003505C1"/>
    <w:rsid w:val="00350AEC"/>
    <w:rsid w:val="00350FA8"/>
    <w:rsid w:val="00351245"/>
    <w:rsid w:val="00351525"/>
    <w:rsid w:val="0035163C"/>
    <w:rsid w:val="00351812"/>
    <w:rsid w:val="00351965"/>
    <w:rsid w:val="003519CB"/>
    <w:rsid w:val="00351BFD"/>
    <w:rsid w:val="00351CBD"/>
    <w:rsid w:val="00351D73"/>
    <w:rsid w:val="00351F37"/>
    <w:rsid w:val="003520AC"/>
    <w:rsid w:val="00352131"/>
    <w:rsid w:val="0035234B"/>
    <w:rsid w:val="003528CB"/>
    <w:rsid w:val="003528E7"/>
    <w:rsid w:val="00352B33"/>
    <w:rsid w:val="00352D22"/>
    <w:rsid w:val="00352E37"/>
    <w:rsid w:val="00353280"/>
    <w:rsid w:val="00353A87"/>
    <w:rsid w:val="00353B40"/>
    <w:rsid w:val="00353B70"/>
    <w:rsid w:val="00353C63"/>
    <w:rsid w:val="00353F85"/>
    <w:rsid w:val="0035425F"/>
    <w:rsid w:val="003548E3"/>
    <w:rsid w:val="0035491F"/>
    <w:rsid w:val="00354D6E"/>
    <w:rsid w:val="0035501D"/>
    <w:rsid w:val="003553F6"/>
    <w:rsid w:val="003555C8"/>
    <w:rsid w:val="00355667"/>
    <w:rsid w:val="00355683"/>
    <w:rsid w:val="00355895"/>
    <w:rsid w:val="00355921"/>
    <w:rsid w:val="00355DE0"/>
    <w:rsid w:val="00355FE1"/>
    <w:rsid w:val="00356081"/>
    <w:rsid w:val="00356262"/>
    <w:rsid w:val="003566BE"/>
    <w:rsid w:val="00357015"/>
    <w:rsid w:val="003578BD"/>
    <w:rsid w:val="00357CA1"/>
    <w:rsid w:val="00357D64"/>
    <w:rsid w:val="00357E21"/>
    <w:rsid w:val="003600F1"/>
    <w:rsid w:val="00360130"/>
    <w:rsid w:val="00360445"/>
    <w:rsid w:val="00360513"/>
    <w:rsid w:val="00360577"/>
    <w:rsid w:val="00360E7B"/>
    <w:rsid w:val="00360F38"/>
    <w:rsid w:val="00361013"/>
    <w:rsid w:val="00361179"/>
    <w:rsid w:val="0036158B"/>
    <w:rsid w:val="00361A57"/>
    <w:rsid w:val="00361AD1"/>
    <w:rsid w:val="00361B5A"/>
    <w:rsid w:val="00362288"/>
    <w:rsid w:val="0036288C"/>
    <w:rsid w:val="003628EC"/>
    <w:rsid w:val="00362A5A"/>
    <w:rsid w:val="00362CF6"/>
    <w:rsid w:val="00363035"/>
    <w:rsid w:val="00363748"/>
    <w:rsid w:val="003637FE"/>
    <w:rsid w:val="00364708"/>
    <w:rsid w:val="00364795"/>
    <w:rsid w:val="00365115"/>
    <w:rsid w:val="003651F4"/>
    <w:rsid w:val="00365320"/>
    <w:rsid w:val="003656F2"/>
    <w:rsid w:val="003658F1"/>
    <w:rsid w:val="0036598B"/>
    <w:rsid w:val="00365B67"/>
    <w:rsid w:val="00365C9B"/>
    <w:rsid w:val="00365D1A"/>
    <w:rsid w:val="00365E44"/>
    <w:rsid w:val="003660AD"/>
    <w:rsid w:val="00366725"/>
    <w:rsid w:val="00366748"/>
    <w:rsid w:val="00366BD1"/>
    <w:rsid w:val="00367898"/>
    <w:rsid w:val="00367DE9"/>
    <w:rsid w:val="00367F65"/>
    <w:rsid w:val="00370780"/>
    <w:rsid w:val="003708D8"/>
    <w:rsid w:val="00370904"/>
    <w:rsid w:val="00370C2B"/>
    <w:rsid w:val="00371092"/>
    <w:rsid w:val="003711B9"/>
    <w:rsid w:val="00371291"/>
    <w:rsid w:val="0037132A"/>
    <w:rsid w:val="00371339"/>
    <w:rsid w:val="003714FA"/>
    <w:rsid w:val="00371759"/>
    <w:rsid w:val="00371793"/>
    <w:rsid w:val="003717A5"/>
    <w:rsid w:val="00371A75"/>
    <w:rsid w:val="00371C48"/>
    <w:rsid w:val="00371D21"/>
    <w:rsid w:val="00371E13"/>
    <w:rsid w:val="0037211D"/>
    <w:rsid w:val="00372345"/>
    <w:rsid w:val="003723F3"/>
    <w:rsid w:val="003723FE"/>
    <w:rsid w:val="003724C1"/>
    <w:rsid w:val="00372C9F"/>
    <w:rsid w:val="00372D0D"/>
    <w:rsid w:val="00372E25"/>
    <w:rsid w:val="00373392"/>
    <w:rsid w:val="003735CB"/>
    <w:rsid w:val="003735DA"/>
    <w:rsid w:val="003736D6"/>
    <w:rsid w:val="00373912"/>
    <w:rsid w:val="003739BA"/>
    <w:rsid w:val="00373A05"/>
    <w:rsid w:val="00373D88"/>
    <w:rsid w:val="00373FCE"/>
    <w:rsid w:val="00374088"/>
    <w:rsid w:val="003743E1"/>
    <w:rsid w:val="003747F0"/>
    <w:rsid w:val="00374C17"/>
    <w:rsid w:val="00374E67"/>
    <w:rsid w:val="00375097"/>
    <w:rsid w:val="0037522E"/>
    <w:rsid w:val="0037541C"/>
    <w:rsid w:val="00375571"/>
    <w:rsid w:val="00375992"/>
    <w:rsid w:val="00375B3C"/>
    <w:rsid w:val="00375DA4"/>
    <w:rsid w:val="00375F5F"/>
    <w:rsid w:val="00376196"/>
    <w:rsid w:val="003761B0"/>
    <w:rsid w:val="003762B3"/>
    <w:rsid w:val="00376A90"/>
    <w:rsid w:val="00376D8B"/>
    <w:rsid w:val="003771B4"/>
    <w:rsid w:val="0037739D"/>
    <w:rsid w:val="003773F6"/>
    <w:rsid w:val="003775A7"/>
    <w:rsid w:val="0037768A"/>
    <w:rsid w:val="003776CB"/>
    <w:rsid w:val="0037798B"/>
    <w:rsid w:val="00377BFE"/>
    <w:rsid w:val="00377C63"/>
    <w:rsid w:val="00377CC5"/>
    <w:rsid w:val="00380674"/>
    <w:rsid w:val="003806E2"/>
    <w:rsid w:val="00380B2E"/>
    <w:rsid w:val="00380DCE"/>
    <w:rsid w:val="00380E6E"/>
    <w:rsid w:val="00380F84"/>
    <w:rsid w:val="00380FAC"/>
    <w:rsid w:val="0038105D"/>
    <w:rsid w:val="003810A3"/>
    <w:rsid w:val="00381533"/>
    <w:rsid w:val="00381548"/>
    <w:rsid w:val="003816AB"/>
    <w:rsid w:val="003819D6"/>
    <w:rsid w:val="00381C1C"/>
    <w:rsid w:val="00381E3A"/>
    <w:rsid w:val="00381F80"/>
    <w:rsid w:val="003821CA"/>
    <w:rsid w:val="003824DC"/>
    <w:rsid w:val="00382624"/>
    <w:rsid w:val="0038268F"/>
    <w:rsid w:val="00382917"/>
    <w:rsid w:val="003829FE"/>
    <w:rsid w:val="00382BD7"/>
    <w:rsid w:val="003832AE"/>
    <w:rsid w:val="00383377"/>
    <w:rsid w:val="00383742"/>
    <w:rsid w:val="003837ED"/>
    <w:rsid w:val="00383A2A"/>
    <w:rsid w:val="00383A4F"/>
    <w:rsid w:val="00383A5F"/>
    <w:rsid w:val="00383B25"/>
    <w:rsid w:val="00383C9F"/>
    <w:rsid w:val="00383F6E"/>
    <w:rsid w:val="00384056"/>
    <w:rsid w:val="0038450A"/>
    <w:rsid w:val="0038479F"/>
    <w:rsid w:val="003848FE"/>
    <w:rsid w:val="00384A63"/>
    <w:rsid w:val="00384BED"/>
    <w:rsid w:val="00384C22"/>
    <w:rsid w:val="00384CC6"/>
    <w:rsid w:val="003858F7"/>
    <w:rsid w:val="00385A1E"/>
    <w:rsid w:val="00385A29"/>
    <w:rsid w:val="00385BCA"/>
    <w:rsid w:val="00385CE8"/>
    <w:rsid w:val="00386278"/>
    <w:rsid w:val="0038668F"/>
    <w:rsid w:val="00386936"/>
    <w:rsid w:val="00386A66"/>
    <w:rsid w:val="00387623"/>
    <w:rsid w:val="0038772A"/>
    <w:rsid w:val="0038796E"/>
    <w:rsid w:val="00387A29"/>
    <w:rsid w:val="00387C9B"/>
    <w:rsid w:val="0039026C"/>
    <w:rsid w:val="00390517"/>
    <w:rsid w:val="00390A01"/>
    <w:rsid w:val="00390ACF"/>
    <w:rsid w:val="00390D2A"/>
    <w:rsid w:val="00390EEC"/>
    <w:rsid w:val="00391450"/>
    <w:rsid w:val="003915FE"/>
    <w:rsid w:val="00391DC9"/>
    <w:rsid w:val="00391F39"/>
    <w:rsid w:val="003921ED"/>
    <w:rsid w:val="0039274C"/>
    <w:rsid w:val="00392796"/>
    <w:rsid w:val="003927DC"/>
    <w:rsid w:val="00392CFE"/>
    <w:rsid w:val="00392DB3"/>
    <w:rsid w:val="003931C1"/>
    <w:rsid w:val="00393704"/>
    <w:rsid w:val="003940B5"/>
    <w:rsid w:val="003940D0"/>
    <w:rsid w:val="0039432D"/>
    <w:rsid w:val="003945FF"/>
    <w:rsid w:val="00394974"/>
    <w:rsid w:val="00394C3A"/>
    <w:rsid w:val="00394CBF"/>
    <w:rsid w:val="00394D35"/>
    <w:rsid w:val="00394DAB"/>
    <w:rsid w:val="00394F33"/>
    <w:rsid w:val="00395062"/>
    <w:rsid w:val="003951EF"/>
    <w:rsid w:val="003953D2"/>
    <w:rsid w:val="0039541C"/>
    <w:rsid w:val="00395948"/>
    <w:rsid w:val="00395A3A"/>
    <w:rsid w:val="00395BE8"/>
    <w:rsid w:val="00395D53"/>
    <w:rsid w:val="003960C8"/>
    <w:rsid w:val="0039629E"/>
    <w:rsid w:val="003962D9"/>
    <w:rsid w:val="00397166"/>
    <w:rsid w:val="0039786D"/>
    <w:rsid w:val="00397E23"/>
    <w:rsid w:val="00397E42"/>
    <w:rsid w:val="00397FAD"/>
    <w:rsid w:val="003A0145"/>
    <w:rsid w:val="003A02D3"/>
    <w:rsid w:val="003A0739"/>
    <w:rsid w:val="003A0A35"/>
    <w:rsid w:val="003A0C5A"/>
    <w:rsid w:val="003A0CAD"/>
    <w:rsid w:val="003A0EC2"/>
    <w:rsid w:val="003A1290"/>
    <w:rsid w:val="003A14E4"/>
    <w:rsid w:val="003A158F"/>
    <w:rsid w:val="003A2099"/>
    <w:rsid w:val="003A2210"/>
    <w:rsid w:val="003A278E"/>
    <w:rsid w:val="003A29EE"/>
    <w:rsid w:val="003A2B27"/>
    <w:rsid w:val="003A2EE7"/>
    <w:rsid w:val="003A32AA"/>
    <w:rsid w:val="003A33BC"/>
    <w:rsid w:val="003A33C2"/>
    <w:rsid w:val="003A34A1"/>
    <w:rsid w:val="003A35F6"/>
    <w:rsid w:val="003A36C4"/>
    <w:rsid w:val="003A39F1"/>
    <w:rsid w:val="003A3CD9"/>
    <w:rsid w:val="003A3D9B"/>
    <w:rsid w:val="003A4036"/>
    <w:rsid w:val="003A440C"/>
    <w:rsid w:val="003A44EC"/>
    <w:rsid w:val="003A46D5"/>
    <w:rsid w:val="003A47F6"/>
    <w:rsid w:val="003A4823"/>
    <w:rsid w:val="003A5284"/>
    <w:rsid w:val="003A5716"/>
    <w:rsid w:val="003A5EEC"/>
    <w:rsid w:val="003A5F9F"/>
    <w:rsid w:val="003A6760"/>
    <w:rsid w:val="003A6811"/>
    <w:rsid w:val="003A6A82"/>
    <w:rsid w:val="003A6E91"/>
    <w:rsid w:val="003A6E92"/>
    <w:rsid w:val="003A7375"/>
    <w:rsid w:val="003A7594"/>
    <w:rsid w:val="003A7607"/>
    <w:rsid w:val="003A76B9"/>
    <w:rsid w:val="003A7732"/>
    <w:rsid w:val="003A7959"/>
    <w:rsid w:val="003A79B2"/>
    <w:rsid w:val="003A7F50"/>
    <w:rsid w:val="003B000D"/>
    <w:rsid w:val="003B0086"/>
    <w:rsid w:val="003B0422"/>
    <w:rsid w:val="003B10B1"/>
    <w:rsid w:val="003B10E7"/>
    <w:rsid w:val="003B10F3"/>
    <w:rsid w:val="003B12E9"/>
    <w:rsid w:val="003B132A"/>
    <w:rsid w:val="003B1426"/>
    <w:rsid w:val="003B1980"/>
    <w:rsid w:val="003B1A95"/>
    <w:rsid w:val="003B1AC4"/>
    <w:rsid w:val="003B214D"/>
    <w:rsid w:val="003B25E7"/>
    <w:rsid w:val="003B2692"/>
    <w:rsid w:val="003B2E11"/>
    <w:rsid w:val="003B3461"/>
    <w:rsid w:val="003B38A1"/>
    <w:rsid w:val="003B391E"/>
    <w:rsid w:val="003B3CD8"/>
    <w:rsid w:val="003B3DBB"/>
    <w:rsid w:val="003B3FE9"/>
    <w:rsid w:val="003B41D4"/>
    <w:rsid w:val="003B429C"/>
    <w:rsid w:val="003B435D"/>
    <w:rsid w:val="003B46CC"/>
    <w:rsid w:val="003B483D"/>
    <w:rsid w:val="003B4882"/>
    <w:rsid w:val="003B4C4D"/>
    <w:rsid w:val="003B5105"/>
    <w:rsid w:val="003B51B0"/>
    <w:rsid w:val="003B51D0"/>
    <w:rsid w:val="003B5238"/>
    <w:rsid w:val="003B5649"/>
    <w:rsid w:val="003B578A"/>
    <w:rsid w:val="003B5870"/>
    <w:rsid w:val="003B58AD"/>
    <w:rsid w:val="003B5A05"/>
    <w:rsid w:val="003B5C5B"/>
    <w:rsid w:val="003B603E"/>
    <w:rsid w:val="003B609A"/>
    <w:rsid w:val="003B6149"/>
    <w:rsid w:val="003B68F4"/>
    <w:rsid w:val="003B6AD0"/>
    <w:rsid w:val="003B6EFD"/>
    <w:rsid w:val="003B71F8"/>
    <w:rsid w:val="003B73FD"/>
    <w:rsid w:val="003B7607"/>
    <w:rsid w:val="003B78A2"/>
    <w:rsid w:val="003B7977"/>
    <w:rsid w:val="003B7A84"/>
    <w:rsid w:val="003B7D08"/>
    <w:rsid w:val="003C000F"/>
    <w:rsid w:val="003C02C6"/>
    <w:rsid w:val="003C032B"/>
    <w:rsid w:val="003C040E"/>
    <w:rsid w:val="003C0429"/>
    <w:rsid w:val="003C0A54"/>
    <w:rsid w:val="003C0C61"/>
    <w:rsid w:val="003C0D1F"/>
    <w:rsid w:val="003C0D64"/>
    <w:rsid w:val="003C0F3D"/>
    <w:rsid w:val="003C1078"/>
    <w:rsid w:val="003C147B"/>
    <w:rsid w:val="003C153A"/>
    <w:rsid w:val="003C18C3"/>
    <w:rsid w:val="003C19EB"/>
    <w:rsid w:val="003C1F97"/>
    <w:rsid w:val="003C2020"/>
    <w:rsid w:val="003C2150"/>
    <w:rsid w:val="003C21D6"/>
    <w:rsid w:val="003C239D"/>
    <w:rsid w:val="003C2C3B"/>
    <w:rsid w:val="003C3009"/>
    <w:rsid w:val="003C3298"/>
    <w:rsid w:val="003C3545"/>
    <w:rsid w:val="003C37D9"/>
    <w:rsid w:val="003C37DF"/>
    <w:rsid w:val="003C3B75"/>
    <w:rsid w:val="003C3C99"/>
    <w:rsid w:val="003C3CA3"/>
    <w:rsid w:val="003C3DA4"/>
    <w:rsid w:val="003C3DB2"/>
    <w:rsid w:val="003C3E24"/>
    <w:rsid w:val="003C3F01"/>
    <w:rsid w:val="003C4088"/>
    <w:rsid w:val="003C423F"/>
    <w:rsid w:val="003C4949"/>
    <w:rsid w:val="003C4970"/>
    <w:rsid w:val="003C4AC1"/>
    <w:rsid w:val="003C4C69"/>
    <w:rsid w:val="003C4FD6"/>
    <w:rsid w:val="003C514B"/>
    <w:rsid w:val="003C5173"/>
    <w:rsid w:val="003C539D"/>
    <w:rsid w:val="003C56EC"/>
    <w:rsid w:val="003C56F1"/>
    <w:rsid w:val="003C57C0"/>
    <w:rsid w:val="003C57C6"/>
    <w:rsid w:val="003C5CDF"/>
    <w:rsid w:val="003C5FD1"/>
    <w:rsid w:val="003C61EB"/>
    <w:rsid w:val="003C6891"/>
    <w:rsid w:val="003C6E86"/>
    <w:rsid w:val="003C73AB"/>
    <w:rsid w:val="003C74D7"/>
    <w:rsid w:val="003C76E8"/>
    <w:rsid w:val="003C7977"/>
    <w:rsid w:val="003C7A70"/>
    <w:rsid w:val="003C7D81"/>
    <w:rsid w:val="003D073D"/>
    <w:rsid w:val="003D0A93"/>
    <w:rsid w:val="003D12FE"/>
    <w:rsid w:val="003D1782"/>
    <w:rsid w:val="003D1D87"/>
    <w:rsid w:val="003D1EFC"/>
    <w:rsid w:val="003D200D"/>
    <w:rsid w:val="003D2145"/>
    <w:rsid w:val="003D2252"/>
    <w:rsid w:val="003D2536"/>
    <w:rsid w:val="003D256B"/>
    <w:rsid w:val="003D2C0F"/>
    <w:rsid w:val="003D2D20"/>
    <w:rsid w:val="003D2D3A"/>
    <w:rsid w:val="003D2EB5"/>
    <w:rsid w:val="003D3ACB"/>
    <w:rsid w:val="003D3AD0"/>
    <w:rsid w:val="003D3E80"/>
    <w:rsid w:val="003D400C"/>
    <w:rsid w:val="003D43F3"/>
    <w:rsid w:val="003D4569"/>
    <w:rsid w:val="003D45A8"/>
    <w:rsid w:val="003D497C"/>
    <w:rsid w:val="003D4A45"/>
    <w:rsid w:val="003D4B80"/>
    <w:rsid w:val="003D4F32"/>
    <w:rsid w:val="003D58B2"/>
    <w:rsid w:val="003D6039"/>
    <w:rsid w:val="003D6588"/>
    <w:rsid w:val="003D681E"/>
    <w:rsid w:val="003D6967"/>
    <w:rsid w:val="003D6A0B"/>
    <w:rsid w:val="003D6AD7"/>
    <w:rsid w:val="003D6BFF"/>
    <w:rsid w:val="003D6F29"/>
    <w:rsid w:val="003D7339"/>
    <w:rsid w:val="003D74CB"/>
    <w:rsid w:val="003D7512"/>
    <w:rsid w:val="003D792C"/>
    <w:rsid w:val="003D7B1B"/>
    <w:rsid w:val="003D7CE2"/>
    <w:rsid w:val="003D7E14"/>
    <w:rsid w:val="003D7E23"/>
    <w:rsid w:val="003D7F05"/>
    <w:rsid w:val="003E062C"/>
    <w:rsid w:val="003E09AF"/>
    <w:rsid w:val="003E0ABA"/>
    <w:rsid w:val="003E10FF"/>
    <w:rsid w:val="003E12CF"/>
    <w:rsid w:val="003E13C1"/>
    <w:rsid w:val="003E1642"/>
    <w:rsid w:val="003E1730"/>
    <w:rsid w:val="003E174E"/>
    <w:rsid w:val="003E17F5"/>
    <w:rsid w:val="003E20F5"/>
    <w:rsid w:val="003E2558"/>
    <w:rsid w:val="003E260D"/>
    <w:rsid w:val="003E2CD6"/>
    <w:rsid w:val="003E3270"/>
    <w:rsid w:val="003E33CE"/>
    <w:rsid w:val="003E37B9"/>
    <w:rsid w:val="003E3ABE"/>
    <w:rsid w:val="003E3E2B"/>
    <w:rsid w:val="003E3F45"/>
    <w:rsid w:val="003E409A"/>
    <w:rsid w:val="003E40B3"/>
    <w:rsid w:val="003E40F1"/>
    <w:rsid w:val="003E4103"/>
    <w:rsid w:val="003E4169"/>
    <w:rsid w:val="003E43E8"/>
    <w:rsid w:val="003E47D4"/>
    <w:rsid w:val="003E4860"/>
    <w:rsid w:val="003E4E02"/>
    <w:rsid w:val="003E4E36"/>
    <w:rsid w:val="003E51ED"/>
    <w:rsid w:val="003E57BE"/>
    <w:rsid w:val="003E5A6E"/>
    <w:rsid w:val="003E5BAF"/>
    <w:rsid w:val="003E5E40"/>
    <w:rsid w:val="003E5EE2"/>
    <w:rsid w:val="003E623A"/>
    <w:rsid w:val="003E64F7"/>
    <w:rsid w:val="003E6768"/>
    <w:rsid w:val="003E678C"/>
    <w:rsid w:val="003E6870"/>
    <w:rsid w:val="003E6B48"/>
    <w:rsid w:val="003E6E9B"/>
    <w:rsid w:val="003E74B8"/>
    <w:rsid w:val="003E7511"/>
    <w:rsid w:val="003E7570"/>
    <w:rsid w:val="003E75AE"/>
    <w:rsid w:val="003E75D6"/>
    <w:rsid w:val="003E77FE"/>
    <w:rsid w:val="003E7882"/>
    <w:rsid w:val="003E7B68"/>
    <w:rsid w:val="003F0000"/>
    <w:rsid w:val="003F009E"/>
    <w:rsid w:val="003F0320"/>
    <w:rsid w:val="003F0859"/>
    <w:rsid w:val="003F08E1"/>
    <w:rsid w:val="003F0A93"/>
    <w:rsid w:val="003F0B6E"/>
    <w:rsid w:val="003F0C7C"/>
    <w:rsid w:val="003F15A8"/>
    <w:rsid w:val="003F15B2"/>
    <w:rsid w:val="003F160F"/>
    <w:rsid w:val="003F16AB"/>
    <w:rsid w:val="003F1809"/>
    <w:rsid w:val="003F18FB"/>
    <w:rsid w:val="003F1A23"/>
    <w:rsid w:val="003F1AD6"/>
    <w:rsid w:val="003F1C6B"/>
    <w:rsid w:val="003F1D42"/>
    <w:rsid w:val="003F209A"/>
    <w:rsid w:val="003F21A0"/>
    <w:rsid w:val="003F245A"/>
    <w:rsid w:val="003F251E"/>
    <w:rsid w:val="003F273A"/>
    <w:rsid w:val="003F2D19"/>
    <w:rsid w:val="003F305E"/>
    <w:rsid w:val="003F306A"/>
    <w:rsid w:val="003F3193"/>
    <w:rsid w:val="003F3485"/>
    <w:rsid w:val="003F38B5"/>
    <w:rsid w:val="003F418D"/>
    <w:rsid w:val="003F41FB"/>
    <w:rsid w:val="003F464E"/>
    <w:rsid w:val="003F47F2"/>
    <w:rsid w:val="003F4AF3"/>
    <w:rsid w:val="003F4C22"/>
    <w:rsid w:val="003F4DDC"/>
    <w:rsid w:val="003F4FB7"/>
    <w:rsid w:val="003F5024"/>
    <w:rsid w:val="003F5564"/>
    <w:rsid w:val="003F57E2"/>
    <w:rsid w:val="003F58A5"/>
    <w:rsid w:val="003F5B08"/>
    <w:rsid w:val="003F5CB0"/>
    <w:rsid w:val="003F5E41"/>
    <w:rsid w:val="003F5E63"/>
    <w:rsid w:val="003F6607"/>
    <w:rsid w:val="003F6740"/>
    <w:rsid w:val="003F6D53"/>
    <w:rsid w:val="003F6E06"/>
    <w:rsid w:val="003F6F7D"/>
    <w:rsid w:val="003F71CD"/>
    <w:rsid w:val="003F735B"/>
    <w:rsid w:val="003F783A"/>
    <w:rsid w:val="003F78D3"/>
    <w:rsid w:val="003F78E0"/>
    <w:rsid w:val="003F7903"/>
    <w:rsid w:val="003F7C06"/>
    <w:rsid w:val="003F7C37"/>
    <w:rsid w:val="003F7DA5"/>
    <w:rsid w:val="003F7DE3"/>
    <w:rsid w:val="004000DE"/>
    <w:rsid w:val="00400420"/>
    <w:rsid w:val="00400C5A"/>
    <w:rsid w:val="004011CD"/>
    <w:rsid w:val="004011E9"/>
    <w:rsid w:val="0040152E"/>
    <w:rsid w:val="0040165D"/>
    <w:rsid w:val="004021C9"/>
    <w:rsid w:val="0040225F"/>
    <w:rsid w:val="00402332"/>
    <w:rsid w:val="00402429"/>
    <w:rsid w:val="00402546"/>
    <w:rsid w:val="00402672"/>
    <w:rsid w:val="00402BE3"/>
    <w:rsid w:val="00402E06"/>
    <w:rsid w:val="00402EF5"/>
    <w:rsid w:val="00402FF9"/>
    <w:rsid w:val="004034DA"/>
    <w:rsid w:val="004035BF"/>
    <w:rsid w:val="004036CA"/>
    <w:rsid w:val="00403A6F"/>
    <w:rsid w:val="00403A80"/>
    <w:rsid w:val="00403F34"/>
    <w:rsid w:val="00403F36"/>
    <w:rsid w:val="00403F44"/>
    <w:rsid w:val="00403F46"/>
    <w:rsid w:val="00403FF2"/>
    <w:rsid w:val="0040408F"/>
    <w:rsid w:val="004040FD"/>
    <w:rsid w:val="00404197"/>
    <w:rsid w:val="00404335"/>
    <w:rsid w:val="0040487B"/>
    <w:rsid w:val="00404C27"/>
    <w:rsid w:val="00404D5E"/>
    <w:rsid w:val="00404D85"/>
    <w:rsid w:val="00404FD4"/>
    <w:rsid w:val="00405391"/>
    <w:rsid w:val="004053F5"/>
    <w:rsid w:val="00405416"/>
    <w:rsid w:val="00405475"/>
    <w:rsid w:val="004056BB"/>
    <w:rsid w:val="0040583A"/>
    <w:rsid w:val="0040606D"/>
    <w:rsid w:val="0040609C"/>
    <w:rsid w:val="00406271"/>
    <w:rsid w:val="004062A5"/>
    <w:rsid w:val="00406571"/>
    <w:rsid w:val="004066EF"/>
    <w:rsid w:val="00406D67"/>
    <w:rsid w:val="00406FA4"/>
    <w:rsid w:val="004076D5"/>
    <w:rsid w:val="004079E0"/>
    <w:rsid w:val="00407AA1"/>
    <w:rsid w:val="00407E10"/>
    <w:rsid w:val="00407EEF"/>
    <w:rsid w:val="00410217"/>
    <w:rsid w:val="004108FE"/>
    <w:rsid w:val="00410AF7"/>
    <w:rsid w:val="00410B77"/>
    <w:rsid w:val="00410BF4"/>
    <w:rsid w:val="00410F93"/>
    <w:rsid w:val="00411BDD"/>
    <w:rsid w:val="00411D7D"/>
    <w:rsid w:val="00412030"/>
    <w:rsid w:val="004121C1"/>
    <w:rsid w:val="00412391"/>
    <w:rsid w:val="00412443"/>
    <w:rsid w:val="00412467"/>
    <w:rsid w:val="004128E5"/>
    <w:rsid w:val="00412E20"/>
    <w:rsid w:val="00413143"/>
    <w:rsid w:val="00413188"/>
    <w:rsid w:val="00413495"/>
    <w:rsid w:val="00413C9F"/>
    <w:rsid w:val="00413E4D"/>
    <w:rsid w:val="00413EC0"/>
    <w:rsid w:val="0041426E"/>
    <w:rsid w:val="0041456E"/>
    <w:rsid w:val="00414DFE"/>
    <w:rsid w:val="004150F2"/>
    <w:rsid w:val="00415188"/>
    <w:rsid w:val="00415524"/>
    <w:rsid w:val="00415537"/>
    <w:rsid w:val="00415590"/>
    <w:rsid w:val="004156AB"/>
    <w:rsid w:val="004157B7"/>
    <w:rsid w:val="0041585E"/>
    <w:rsid w:val="00415974"/>
    <w:rsid w:val="004159EA"/>
    <w:rsid w:val="00415A64"/>
    <w:rsid w:val="00415AA9"/>
    <w:rsid w:val="00415CAC"/>
    <w:rsid w:val="0041603D"/>
    <w:rsid w:val="00416091"/>
    <w:rsid w:val="0041660A"/>
    <w:rsid w:val="00416929"/>
    <w:rsid w:val="00416949"/>
    <w:rsid w:val="00416A3E"/>
    <w:rsid w:val="00416ED5"/>
    <w:rsid w:val="004170AF"/>
    <w:rsid w:val="0041733C"/>
    <w:rsid w:val="004174D6"/>
    <w:rsid w:val="0041793F"/>
    <w:rsid w:val="00417EA9"/>
    <w:rsid w:val="004201C3"/>
    <w:rsid w:val="0042031A"/>
    <w:rsid w:val="0042032D"/>
    <w:rsid w:val="00420346"/>
    <w:rsid w:val="00420446"/>
    <w:rsid w:val="004204A4"/>
    <w:rsid w:val="004205E9"/>
    <w:rsid w:val="00420627"/>
    <w:rsid w:val="0042065A"/>
    <w:rsid w:val="00420A15"/>
    <w:rsid w:val="0042105D"/>
    <w:rsid w:val="0042128C"/>
    <w:rsid w:val="0042129C"/>
    <w:rsid w:val="0042144B"/>
    <w:rsid w:val="004218C5"/>
    <w:rsid w:val="00421EAA"/>
    <w:rsid w:val="00421EC0"/>
    <w:rsid w:val="004221DA"/>
    <w:rsid w:val="0042244D"/>
    <w:rsid w:val="00422469"/>
    <w:rsid w:val="00422D2C"/>
    <w:rsid w:val="00422EF5"/>
    <w:rsid w:val="00422FF8"/>
    <w:rsid w:val="00423401"/>
    <w:rsid w:val="004234F0"/>
    <w:rsid w:val="00423784"/>
    <w:rsid w:val="00423DC0"/>
    <w:rsid w:val="00424245"/>
    <w:rsid w:val="00424530"/>
    <w:rsid w:val="00424A3F"/>
    <w:rsid w:val="00424C06"/>
    <w:rsid w:val="00424D5A"/>
    <w:rsid w:val="00424DE6"/>
    <w:rsid w:val="00424FB0"/>
    <w:rsid w:val="004254A4"/>
    <w:rsid w:val="00425916"/>
    <w:rsid w:val="00425E0A"/>
    <w:rsid w:val="00425E98"/>
    <w:rsid w:val="00425EF1"/>
    <w:rsid w:val="004267CD"/>
    <w:rsid w:val="004269FF"/>
    <w:rsid w:val="00426A90"/>
    <w:rsid w:val="00426D4A"/>
    <w:rsid w:val="00426DFC"/>
    <w:rsid w:val="00427030"/>
    <w:rsid w:val="00427194"/>
    <w:rsid w:val="0042720A"/>
    <w:rsid w:val="00427251"/>
    <w:rsid w:val="00427504"/>
    <w:rsid w:val="00427520"/>
    <w:rsid w:val="0042760A"/>
    <w:rsid w:val="00427629"/>
    <w:rsid w:val="004278F2"/>
    <w:rsid w:val="004278F7"/>
    <w:rsid w:val="0042791F"/>
    <w:rsid w:val="00427961"/>
    <w:rsid w:val="0042797C"/>
    <w:rsid w:val="00427ACD"/>
    <w:rsid w:val="004301A1"/>
    <w:rsid w:val="004304F8"/>
    <w:rsid w:val="00430976"/>
    <w:rsid w:val="0043099A"/>
    <w:rsid w:val="00430B7D"/>
    <w:rsid w:val="004312DB"/>
    <w:rsid w:val="0043147A"/>
    <w:rsid w:val="0043187D"/>
    <w:rsid w:val="00431AC2"/>
    <w:rsid w:val="00431AE4"/>
    <w:rsid w:val="00432466"/>
    <w:rsid w:val="004324EA"/>
    <w:rsid w:val="004325E2"/>
    <w:rsid w:val="00432966"/>
    <w:rsid w:val="00432BD7"/>
    <w:rsid w:val="00432E15"/>
    <w:rsid w:val="004330A8"/>
    <w:rsid w:val="004330C0"/>
    <w:rsid w:val="00433412"/>
    <w:rsid w:val="00433575"/>
    <w:rsid w:val="00433757"/>
    <w:rsid w:val="004337E8"/>
    <w:rsid w:val="00433981"/>
    <w:rsid w:val="00433CD3"/>
    <w:rsid w:val="00433D16"/>
    <w:rsid w:val="00433EC6"/>
    <w:rsid w:val="00433F08"/>
    <w:rsid w:val="00433F4B"/>
    <w:rsid w:val="0043403A"/>
    <w:rsid w:val="004340C5"/>
    <w:rsid w:val="0043463B"/>
    <w:rsid w:val="004346A5"/>
    <w:rsid w:val="00434C9E"/>
    <w:rsid w:val="00434D7E"/>
    <w:rsid w:val="00434E19"/>
    <w:rsid w:val="00434FA5"/>
    <w:rsid w:val="00434FC4"/>
    <w:rsid w:val="004352FC"/>
    <w:rsid w:val="00435363"/>
    <w:rsid w:val="00435783"/>
    <w:rsid w:val="00435938"/>
    <w:rsid w:val="00436317"/>
    <w:rsid w:val="00436401"/>
    <w:rsid w:val="00436B39"/>
    <w:rsid w:val="00436E07"/>
    <w:rsid w:val="0043727B"/>
    <w:rsid w:val="00437682"/>
    <w:rsid w:val="0043782E"/>
    <w:rsid w:val="004378E5"/>
    <w:rsid w:val="00437922"/>
    <w:rsid w:val="004379BA"/>
    <w:rsid w:val="00437A45"/>
    <w:rsid w:val="00437A63"/>
    <w:rsid w:val="00440471"/>
    <w:rsid w:val="004408E2"/>
    <w:rsid w:val="004410D6"/>
    <w:rsid w:val="004411DC"/>
    <w:rsid w:val="004413AB"/>
    <w:rsid w:val="00441624"/>
    <w:rsid w:val="0044174D"/>
    <w:rsid w:val="00441932"/>
    <w:rsid w:val="00441B7A"/>
    <w:rsid w:val="00441BD5"/>
    <w:rsid w:val="0044209C"/>
    <w:rsid w:val="00442123"/>
    <w:rsid w:val="0044241D"/>
    <w:rsid w:val="0044267C"/>
    <w:rsid w:val="00442819"/>
    <w:rsid w:val="0044290A"/>
    <w:rsid w:val="00442966"/>
    <w:rsid w:val="00442AB2"/>
    <w:rsid w:val="00442ADB"/>
    <w:rsid w:val="00442B88"/>
    <w:rsid w:val="00442CD0"/>
    <w:rsid w:val="00442D78"/>
    <w:rsid w:val="00442F68"/>
    <w:rsid w:val="004430E3"/>
    <w:rsid w:val="00443300"/>
    <w:rsid w:val="004434E4"/>
    <w:rsid w:val="0044353B"/>
    <w:rsid w:val="0044378B"/>
    <w:rsid w:val="004438EE"/>
    <w:rsid w:val="00443A4C"/>
    <w:rsid w:val="00443CB8"/>
    <w:rsid w:val="00443D16"/>
    <w:rsid w:val="00443D98"/>
    <w:rsid w:val="00443DEF"/>
    <w:rsid w:val="00443F8D"/>
    <w:rsid w:val="00444217"/>
    <w:rsid w:val="00444262"/>
    <w:rsid w:val="00444301"/>
    <w:rsid w:val="004444C2"/>
    <w:rsid w:val="004444FE"/>
    <w:rsid w:val="00444E90"/>
    <w:rsid w:val="00445347"/>
    <w:rsid w:val="00445498"/>
    <w:rsid w:val="00445532"/>
    <w:rsid w:val="004455A5"/>
    <w:rsid w:val="00445D9B"/>
    <w:rsid w:val="004460BC"/>
    <w:rsid w:val="0044641B"/>
    <w:rsid w:val="0044642A"/>
    <w:rsid w:val="00446462"/>
    <w:rsid w:val="004464EA"/>
    <w:rsid w:val="00446544"/>
    <w:rsid w:val="00446D04"/>
    <w:rsid w:val="004475C6"/>
    <w:rsid w:val="00447E89"/>
    <w:rsid w:val="004501E2"/>
    <w:rsid w:val="0045066F"/>
    <w:rsid w:val="00450864"/>
    <w:rsid w:val="0045091C"/>
    <w:rsid w:val="00450B85"/>
    <w:rsid w:val="00450D67"/>
    <w:rsid w:val="00450F30"/>
    <w:rsid w:val="00451126"/>
    <w:rsid w:val="00451CBA"/>
    <w:rsid w:val="00451CEB"/>
    <w:rsid w:val="00451FF4"/>
    <w:rsid w:val="00452388"/>
    <w:rsid w:val="004523DA"/>
    <w:rsid w:val="004527A5"/>
    <w:rsid w:val="00452A74"/>
    <w:rsid w:val="00452F80"/>
    <w:rsid w:val="00453807"/>
    <w:rsid w:val="00453C87"/>
    <w:rsid w:val="00453E06"/>
    <w:rsid w:val="00454300"/>
    <w:rsid w:val="0045433D"/>
    <w:rsid w:val="004544ED"/>
    <w:rsid w:val="00454636"/>
    <w:rsid w:val="004548AB"/>
    <w:rsid w:val="00454BB6"/>
    <w:rsid w:val="00454BE4"/>
    <w:rsid w:val="00454CD7"/>
    <w:rsid w:val="00454F14"/>
    <w:rsid w:val="004559D1"/>
    <w:rsid w:val="00455B1A"/>
    <w:rsid w:val="00455BC7"/>
    <w:rsid w:val="00455BE7"/>
    <w:rsid w:val="00455C0A"/>
    <w:rsid w:val="00455D6C"/>
    <w:rsid w:val="00455F47"/>
    <w:rsid w:val="0045606A"/>
    <w:rsid w:val="004564FF"/>
    <w:rsid w:val="00456B0E"/>
    <w:rsid w:val="00456B88"/>
    <w:rsid w:val="00456E70"/>
    <w:rsid w:val="00456F93"/>
    <w:rsid w:val="00457DA8"/>
    <w:rsid w:val="00457E12"/>
    <w:rsid w:val="00457E94"/>
    <w:rsid w:val="0046059B"/>
    <w:rsid w:val="0046067F"/>
    <w:rsid w:val="00460798"/>
    <w:rsid w:val="00460A9A"/>
    <w:rsid w:val="00460CDB"/>
    <w:rsid w:val="00460D61"/>
    <w:rsid w:val="00461025"/>
    <w:rsid w:val="0046105B"/>
    <w:rsid w:val="004616CF"/>
    <w:rsid w:val="0046182E"/>
    <w:rsid w:val="00461DC8"/>
    <w:rsid w:val="004620AE"/>
    <w:rsid w:val="004624BC"/>
    <w:rsid w:val="0046251B"/>
    <w:rsid w:val="0046282A"/>
    <w:rsid w:val="00463641"/>
    <w:rsid w:val="004637FC"/>
    <w:rsid w:val="00463A6E"/>
    <w:rsid w:val="00463C42"/>
    <w:rsid w:val="00463CE1"/>
    <w:rsid w:val="00463D30"/>
    <w:rsid w:val="00463E25"/>
    <w:rsid w:val="0046428E"/>
    <w:rsid w:val="00464350"/>
    <w:rsid w:val="00464637"/>
    <w:rsid w:val="004648EC"/>
    <w:rsid w:val="004649B1"/>
    <w:rsid w:val="00464ABA"/>
    <w:rsid w:val="00464BBD"/>
    <w:rsid w:val="00464CAC"/>
    <w:rsid w:val="00465222"/>
    <w:rsid w:val="00465A86"/>
    <w:rsid w:val="00465CFA"/>
    <w:rsid w:val="00465E61"/>
    <w:rsid w:val="004662A8"/>
    <w:rsid w:val="004664B2"/>
    <w:rsid w:val="00466937"/>
    <w:rsid w:val="00467320"/>
    <w:rsid w:val="00467372"/>
    <w:rsid w:val="00467395"/>
    <w:rsid w:val="004674BB"/>
    <w:rsid w:val="0046751A"/>
    <w:rsid w:val="004675E0"/>
    <w:rsid w:val="00467BB3"/>
    <w:rsid w:val="00467BBF"/>
    <w:rsid w:val="00467CF2"/>
    <w:rsid w:val="00467D89"/>
    <w:rsid w:val="004701F7"/>
    <w:rsid w:val="0047053E"/>
    <w:rsid w:val="00470679"/>
    <w:rsid w:val="00470AB2"/>
    <w:rsid w:val="00470C45"/>
    <w:rsid w:val="0047111F"/>
    <w:rsid w:val="00471123"/>
    <w:rsid w:val="00471310"/>
    <w:rsid w:val="004713BE"/>
    <w:rsid w:val="00471442"/>
    <w:rsid w:val="00471B96"/>
    <w:rsid w:val="00471BE9"/>
    <w:rsid w:val="00472054"/>
    <w:rsid w:val="004724A1"/>
    <w:rsid w:val="004724BC"/>
    <w:rsid w:val="00472BDB"/>
    <w:rsid w:val="00472BEA"/>
    <w:rsid w:val="0047336C"/>
    <w:rsid w:val="004734BE"/>
    <w:rsid w:val="00473732"/>
    <w:rsid w:val="00473778"/>
    <w:rsid w:val="00473791"/>
    <w:rsid w:val="00473856"/>
    <w:rsid w:val="004739F1"/>
    <w:rsid w:val="00473DCE"/>
    <w:rsid w:val="00474107"/>
    <w:rsid w:val="00474840"/>
    <w:rsid w:val="00474A42"/>
    <w:rsid w:val="00474A73"/>
    <w:rsid w:val="00474C63"/>
    <w:rsid w:val="00475390"/>
    <w:rsid w:val="004755A4"/>
    <w:rsid w:val="00475D83"/>
    <w:rsid w:val="00475DD3"/>
    <w:rsid w:val="00475FC8"/>
    <w:rsid w:val="00476413"/>
    <w:rsid w:val="0047651C"/>
    <w:rsid w:val="00476D29"/>
    <w:rsid w:val="00476D8D"/>
    <w:rsid w:val="00476E4B"/>
    <w:rsid w:val="004770B3"/>
    <w:rsid w:val="004770F2"/>
    <w:rsid w:val="0047772D"/>
    <w:rsid w:val="0047782C"/>
    <w:rsid w:val="00477940"/>
    <w:rsid w:val="00477C82"/>
    <w:rsid w:val="00480672"/>
    <w:rsid w:val="00480B62"/>
    <w:rsid w:val="00480E94"/>
    <w:rsid w:val="00481B25"/>
    <w:rsid w:val="00481C40"/>
    <w:rsid w:val="00481E6B"/>
    <w:rsid w:val="004823DB"/>
    <w:rsid w:val="004823F1"/>
    <w:rsid w:val="004824BC"/>
    <w:rsid w:val="004825B3"/>
    <w:rsid w:val="00482D2B"/>
    <w:rsid w:val="00482E86"/>
    <w:rsid w:val="00482FDC"/>
    <w:rsid w:val="00483210"/>
    <w:rsid w:val="004835A9"/>
    <w:rsid w:val="004836F2"/>
    <w:rsid w:val="00483783"/>
    <w:rsid w:val="0048402B"/>
    <w:rsid w:val="004840EE"/>
    <w:rsid w:val="0048421D"/>
    <w:rsid w:val="004849E7"/>
    <w:rsid w:val="00484C51"/>
    <w:rsid w:val="00484C7F"/>
    <w:rsid w:val="00484E41"/>
    <w:rsid w:val="00484F63"/>
    <w:rsid w:val="004852E1"/>
    <w:rsid w:val="00485307"/>
    <w:rsid w:val="004858AC"/>
    <w:rsid w:val="00485911"/>
    <w:rsid w:val="00485C9A"/>
    <w:rsid w:val="00485D99"/>
    <w:rsid w:val="00485EBE"/>
    <w:rsid w:val="004860AA"/>
    <w:rsid w:val="004862DF"/>
    <w:rsid w:val="004863DD"/>
    <w:rsid w:val="00486745"/>
    <w:rsid w:val="004868F7"/>
    <w:rsid w:val="00486926"/>
    <w:rsid w:val="00486C74"/>
    <w:rsid w:val="00486CA6"/>
    <w:rsid w:val="0048731D"/>
    <w:rsid w:val="00487351"/>
    <w:rsid w:val="00487490"/>
    <w:rsid w:val="00487C70"/>
    <w:rsid w:val="00490005"/>
    <w:rsid w:val="00490010"/>
    <w:rsid w:val="00490B94"/>
    <w:rsid w:val="00490C63"/>
    <w:rsid w:val="00490D04"/>
    <w:rsid w:val="00490F63"/>
    <w:rsid w:val="00491222"/>
    <w:rsid w:val="00491443"/>
    <w:rsid w:val="004914D9"/>
    <w:rsid w:val="004914DD"/>
    <w:rsid w:val="0049189A"/>
    <w:rsid w:val="00491BF8"/>
    <w:rsid w:val="00491DFE"/>
    <w:rsid w:val="00491E17"/>
    <w:rsid w:val="00491FCF"/>
    <w:rsid w:val="004921CA"/>
    <w:rsid w:val="0049231D"/>
    <w:rsid w:val="00492617"/>
    <w:rsid w:val="00492792"/>
    <w:rsid w:val="00492BA9"/>
    <w:rsid w:val="00492D42"/>
    <w:rsid w:val="004933AC"/>
    <w:rsid w:val="00493408"/>
    <w:rsid w:val="0049362A"/>
    <w:rsid w:val="004938B2"/>
    <w:rsid w:val="004938E6"/>
    <w:rsid w:val="00493EF6"/>
    <w:rsid w:val="004940EA"/>
    <w:rsid w:val="00494359"/>
    <w:rsid w:val="00494758"/>
    <w:rsid w:val="00494821"/>
    <w:rsid w:val="00494B10"/>
    <w:rsid w:val="00494B8F"/>
    <w:rsid w:val="00494DD4"/>
    <w:rsid w:val="00495345"/>
    <w:rsid w:val="00495598"/>
    <w:rsid w:val="0049566B"/>
    <w:rsid w:val="0049578A"/>
    <w:rsid w:val="004957AE"/>
    <w:rsid w:val="004957E2"/>
    <w:rsid w:val="00495933"/>
    <w:rsid w:val="00495996"/>
    <w:rsid w:val="00495B74"/>
    <w:rsid w:val="00495C87"/>
    <w:rsid w:val="00495D7F"/>
    <w:rsid w:val="00495F14"/>
    <w:rsid w:val="00496006"/>
    <w:rsid w:val="0049625E"/>
    <w:rsid w:val="004964F4"/>
    <w:rsid w:val="004965B2"/>
    <w:rsid w:val="00496643"/>
    <w:rsid w:val="004966A2"/>
    <w:rsid w:val="00496817"/>
    <w:rsid w:val="00496820"/>
    <w:rsid w:val="004973CC"/>
    <w:rsid w:val="004974DB"/>
    <w:rsid w:val="004974DD"/>
    <w:rsid w:val="004976E4"/>
    <w:rsid w:val="004979F0"/>
    <w:rsid w:val="00497C1B"/>
    <w:rsid w:val="004A03E8"/>
    <w:rsid w:val="004A0454"/>
    <w:rsid w:val="004A04AB"/>
    <w:rsid w:val="004A0905"/>
    <w:rsid w:val="004A1050"/>
    <w:rsid w:val="004A10EB"/>
    <w:rsid w:val="004A14B3"/>
    <w:rsid w:val="004A167D"/>
    <w:rsid w:val="004A1AD6"/>
    <w:rsid w:val="004A1BF7"/>
    <w:rsid w:val="004A1CE2"/>
    <w:rsid w:val="004A1D6F"/>
    <w:rsid w:val="004A1F3B"/>
    <w:rsid w:val="004A245E"/>
    <w:rsid w:val="004A25AD"/>
    <w:rsid w:val="004A2793"/>
    <w:rsid w:val="004A293B"/>
    <w:rsid w:val="004A2B1D"/>
    <w:rsid w:val="004A2DD6"/>
    <w:rsid w:val="004A2F02"/>
    <w:rsid w:val="004A2F24"/>
    <w:rsid w:val="004A2F47"/>
    <w:rsid w:val="004A34AD"/>
    <w:rsid w:val="004A34D6"/>
    <w:rsid w:val="004A35AE"/>
    <w:rsid w:val="004A3898"/>
    <w:rsid w:val="004A39CE"/>
    <w:rsid w:val="004A3CF5"/>
    <w:rsid w:val="004A3F26"/>
    <w:rsid w:val="004A435C"/>
    <w:rsid w:val="004A43C3"/>
    <w:rsid w:val="004A43CE"/>
    <w:rsid w:val="004A46B0"/>
    <w:rsid w:val="004A46F0"/>
    <w:rsid w:val="004A4746"/>
    <w:rsid w:val="004A4B68"/>
    <w:rsid w:val="004A4B8D"/>
    <w:rsid w:val="004A4E71"/>
    <w:rsid w:val="004A4F30"/>
    <w:rsid w:val="004A560F"/>
    <w:rsid w:val="004A56D3"/>
    <w:rsid w:val="004A5E89"/>
    <w:rsid w:val="004A5EF7"/>
    <w:rsid w:val="004A62AE"/>
    <w:rsid w:val="004A6ACB"/>
    <w:rsid w:val="004A6DA7"/>
    <w:rsid w:val="004A6DA8"/>
    <w:rsid w:val="004A70EC"/>
    <w:rsid w:val="004A722D"/>
    <w:rsid w:val="004A723E"/>
    <w:rsid w:val="004A72E8"/>
    <w:rsid w:val="004A7525"/>
    <w:rsid w:val="004A77EC"/>
    <w:rsid w:val="004A784D"/>
    <w:rsid w:val="004A7AD1"/>
    <w:rsid w:val="004A7BCF"/>
    <w:rsid w:val="004A7C25"/>
    <w:rsid w:val="004A7D5D"/>
    <w:rsid w:val="004B036B"/>
    <w:rsid w:val="004B04BE"/>
    <w:rsid w:val="004B0D11"/>
    <w:rsid w:val="004B13B8"/>
    <w:rsid w:val="004B1606"/>
    <w:rsid w:val="004B162E"/>
    <w:rsid w:val="004B1D03"/>
    <w:rsid w:val="004B1DE8"/>
    <w:rsid w:val="004B1E81"/>
    <w:rsid w:val="004B1F22"/>
    <w:rsid w:val="004B284C"/>
    <w:rsid w:val="004B297E"/>
    <w:rsid w:val="004B2B46"/>
    <w:rsid w:val="004B315C"/>
    <w:rsid w:val="004B33D1"/>
    <w:rsid w:val="004B3912"/>
    <w:rsid w:val="004B3B8D"/>
    <w:rsid w:val="004B4076"/>
    <w:rsid w:val="004B41EB"/>
    <w:rsid w:val="004B4994"/>
    <w:rsid w:val="004B4ACE"/>
    <w:rsid w:val="004B4BC1"/>
    <w:rsid w:val="004B4C4D"/>
    <w:rsid w:val="004B4C60"/>
    <w:rsid w:val="004B4C7F"/>
    <w:rsid w:val="004B4CA0"/>
    <w:rsid w:val="004B4F7B"/>
    <w:rsid w:val="004B526B"/>
    <w:rsid w:val="004B5427"/>
    <w:rsid w:val="004B58A7"/>
    <w:rsid w:val="004B5910"/>
    <w:rsid w:val="004B5BEE"/>
    <w:rsid w:val="004B5E7F"/>
    <w:rsid w:val="004B6114"/>
    <w:rsid w:val="004B62DF"/>
    <w:rsid w:val="004B6351"/>
    <w:rsid w:val="004B75FE"/>
    <w:rsid w:val="004B77B4"/>
    <w:rsid w:val="004B77CD"/>
    <w:rsid w:val="004B77E9"/>
    <w:rsid w:val="004B7902"/>
    <w:rsid w:val="004B7CBA"/>
    <w:rsid w:val="004B7EB3"/>
    <w:rsid w:val="004B7FE0"/>
    <w:rsid w:val="004C0238"/>
    <w:rsid w:val="004C1771"/>
    <w:rsid w:val="004C1904"/>
    <w:rsid w:val="004C1905"/>
    <w:rsid w:val="004C197B"/>
    <w:rsid w:val="004C19FA"/>
    <w:rsid w:val="004C1C9A"/>
    <w:rsid w:val="004C21A4"/>
    <w:rsid w:val="004C2C06"/>
    <w:rsid w:val="004C2CD9"/>
    <w:rsid w:val="004C2F1C"/>
    <w:rsid w:val="004C3167"/>
    <w:rsid w:val="004C31BD"/>
    <w:rsid w:val="004C34E8"/>
    <w:rsid w:val="004C3576"/>
    <w:rsid w:val="004C379B"/>
    <w:rsid w:val="004C3AC4"/>
    <w:rsid w:val="004C3E39"/>
    <w:rsid w:val="004C4370"/>
    <w:rsid w:val="004C467A"/>
    <w:rsid w:val="004C4C84"/>
    <w:rsid w:val="004C4CB8"/>
    <w:rsid w:val="004C4E5F"/>
    <w:rsid w:val="004C4E69"/>
    <w:rsid w:val="004C4FD0"/>
    <w:rsid w:val="004C5022"/>
    <w:rsid w:val="004C50D0"/>
    <w:rsid w:val="004C5330"/>
    <w:rsid w:val="004C5633"/>
    <w:rsid w:val="004C5912"/>
    <w:rsid w:val="004C5C30"/>
    <w:rsid w:val="004C5E02"/>
    <w:rsid w:val="004C5FC7"/>
    <w:rsid w:val="004C6239"/>
    <w:rsid w:val="004C6661"/>
    <w:rsid w:val="004C6A7E"/>
    <w:rsid w:val="004C6E3A"/>
    <w:rsid w:val="004C71FE"/>
    <w:rsid w:val="004C7594"/>
    <w:rsid w:val="004C75EF"/>
    <w:rsid w:val="004C7629"/>
    <w:rsid w:val="004C77C8"/>
    <w:rsid w:val="004C780F"/>
    <w:rsid w:val="004C7BF8"/>
    <w:rsid w:val="004C7C82"/>
    <w:rsid w:val="004D0CA0"/>
    <w:rsid w:val="004D0E92"/>
    <w:rsid w:val="004D10A9"/>
    <w:rsid w:val="004D15F1"/>
    <w:rsid w:val="004D1C73"/>
    <w:rsid w:val="004D1DDC"/>
    <w:rsid w:val="004D1DDD"/>
    <w:rsid w:val="004D1E8D"/>
    <w:rsid w:val="004D1EEC"/>
    <w:rsid w:val="004D1F8E"/>
    <w:rsid w:val="004D2023"/>
    <w:rsid w:val="004D2138"/>
    <w:rsid w:val="004D28D5"/>
    <w:rsid w:val="004D2D86"/>
    <w:rsid w:val="004D32D3"/>
    <w:rsid w:val="004D3689"/>
    <w:rsid w:val="004D3B9F"/>
    <w:rsid w:val="004D42D3"/>
    <w:rsid w:val="004D44CD"/>
    <w:rsid w:val="004D470D"/>
    <w:rsid w:val="004D4A51"/>
    <w:rsid w:val="004D51E9"/>
    <w:rsid w:val="004D57FC"/>
    <w:rsid w:val="004D5C34"/>
    <w:rsid w:val="004D5E21"/>
    <w:rsid w:val="004D5E6D"/>
    <w:rsid w:val="004D5EED"/>
    <w:rsid w:val="004D5F16"/>
    <w:rsid w:val="004D60A1"/>
    <w:rsid w:val="004D6361"/>
    <w:rsid w:val="004D6363"/>
    <w:rsid w:val="004D6C85"/>
    <w:rsid w:val="004D6CAB"/>
    <w:rsid w:val="004D7068"/>
    <w:rsid w:val="004D758B"/>
    <w:rsid w:val="004D7E2C"/>
    <w:rsid w:val="004E0234"/>
    <w:rsid w:val="004E02AD"/>
    <w:rsid w:val="004E04BE"/>
    <w:rsid w:val="004E05CC"/>
    <w:rsid w:val="004E0778"/>
    <w:rsid w:val="004E080C"/>
    <w:rsid w:val="004E0D4B"/>
    <w:rsid w:val="004E0E98"/>
    <w:rsid w:val="004E0EEB"/>
    <w:rsid w:val="004E156E"/>
    <w:rsid w:val="004E15D3"/>
    <w:rsid w:val="004E1AD5"/>
    <w:rsid w:val="004E1CCB"/>
    <w:rsid w:val="004E2983"/>
    <w:rsid w:val="004E29FA"/>
    <w:rsid w:val="004E3116"/>
    <w:rsid w:val="004E316B"/>
    <w:rsid w:val="004E353B"/>
    <w:rsid w:val="004E3560"/>
    <w:rsid w:val="004E372A"/>
    <w:rsid w:val="004E3FE2"/>
    <w:rsid w:val="004E4393"/>
    <w:rsid w:val="004E446E"/>
    <w:rsid w:val="004E4595"/>
    <w:rsid w:val="004E4596"/>
    <w:rsid w:val="004E4949"/>
    <w:rsid w:val="004E49B4"/>
    <w:rsid w:val="004E4AFD"/>
    <w:rsid w:val="004E4F32"/>
    <w:rsid w:val="004E58D8"/>
    <w:rsid w:val="004E6143"/>
    <w:rsid w:val="004E69AA"/>
    <w:rsid w:val="004E6AE7"/>
    <w:rsid w:val="004E75A9"/>
    <w:rsid w:val="004E78B4"/>
    <w:rsid w:val="004E7933"/>
    <w:rsid w:val="004F02E0"/>
    <w:rsid w:val="004F046C"/>
    <w:rsid w:val="004F05D5"/>
    <w:rsid w:val="004F05F6"/>
    <w:rsid w:val="004F068E"/>
    <w:rsid w:val="004F0839"/>
    <w:rsid w:val="004F0CC8"/>
    <w:rsid w:val="004F1031"/>
    <w:rsid w:val="004F1102"/>
    <w:rsid w:val="004F134B"/>
    <w:rsid w:val="004F1AF8"/>
    <w:rsid w:val="004F1C2C"/>
    <w:rsid w:val="004F1EA2"/>
    <w:rsid w:val="004F1FCF"/>
    <w:rsid w:val="004F2033"/>
    <w:rsid w:val="004F206F"/>
    <w:rsid w:val="004F2108"/>
    <w:rsid w:val="004F2368"/>
    <w:rsid w:val="004F23FE"/>
    <w:rsid w:val="004F2529"/>
    <w:rsid w:val="004F2AF5"/>
    <w:rsid w:val="004F2B47"/>
    <w:rsid w:val="004F2C7A"/>
    <w:rsid w:val="004F2E37"/>
    <w:rsid w:val="004F3094"/>
    <w:rsid w:val="004F3102"/>
    <w:rsid w:val="004F399D"/>
    <w:rsid w:val="004F3C2E"/>
    <w:rsid w:val="004F3EED"/>
    <w:rsid w:val="004F4738"/>
    <w:rsid w:val="004F47C7"/>
    <w:rsid w:val="004F4DC2"/>
    <w:rsid w:val="004F5679"/>
    <w:rsid w:val="004F58E6"/>
    <w:rsid w:val="004F5DBF"/>
    <w:rsid w:val="004F5EF1"/>
    <w:rsid w:val="004F619B"/>
    <w:rsid w:val="004F621D"/>
    <w:rsid w:val="004F6767"/>
    <w:rsid w:val="004F689E"/>
    <w:rsid w:val="004F68FA"/>
    <w:rsid w:val="004F6C2B"/>
    <w:rsid w:val="004F6C3E"/>
    <w:rsid w:val="004F6E6D"/>
    <w:rsid w:val="004F704D"/>
    <w:rsid w:val="004F748B"/>
    <w:rsid w:val="004F7760"/>
    <w:rsid w:val="004F7A4B"/>
    <w:rsid w:val="004F7AC7"/>
    <w:rsid w:val="004F7D9C"/>
    <w:rsid w:val="004F7EF9"/>
    <w:rsid w:val="00500042"/>
    <w:rsid w:val="005002CC"/>
    <w:rsid w:val="0050039A"/>
    <w:rsid w:val="00500562"/>
    <w:rsid w:val="0050056E"/>
    <w:rsid w:val="00500578"/>
    <w:rsid w:val="005005E2"/>
    <w:rsid w:val="00500664"/>
    <w:rsid w:val="005006A2"/>
    <w:rsid w:val="005008D0"/>
    <w:rsid w:val="00500ABE"/>
    <w:rsid w:val="00501AC6"/>
    <w:rsid w:val="00501B25"/>
    <w:rsid w:val="00502016"/>
    <w:rsid w:val="00502113"/>
    <w:rsid w:val="0050216F"/>
    <w:rsid w:val="00502256"/>
    <w:rsid w:val="0050259D"/>
    <w:rsid w:val="00502A55"/>
    <w:rsid w:val="00502DE5"/>
    <w:rsid w:val="005031C8"/>
    <w:rsid w:val="0050328D"/>
    <w:rsid w:val="0050357A"/>
    <w:rsid w:val="005037C5"/>
    <w:rsid w:val="00503D10"/>
    <w:rsid w:val="00503D44"/>
    <w:rsid w:val="00503EE3"/>
    <w:rsid w:val="00503F3F"/>
    <w:rsid w:val="0050429B"/>
    <w:rsid w:val="00504934"/>
    <w:rsid w:val="00504939"/>
    <w:rsid w:val="00504A04"/>
    <w:rsid w:val="00504C3D"/>
    <w:rsid w:val="00504C9D"/>
    <w:rsid w:val="0050531C"/>
    <w:rsid w:val="00505479"/>
    <w:rsid w:val="0050583D"/>
    <w:rsid w:val="00505E96"/>
    <w:rsid w:val="00505FA2"/>
    <w:rsid w:val="005065E6"/>
    <w:rsid w:val="00506800"/>
    <w:rsid w:val="005069AB"/>
    <w:rsid w:val="00506B1A"/>
    <w:rsid w:val="00506CEA"/>
    <w:rsid w:val="0050706D"/>
    <w:rsid w:val="005073EC"/>
    <w:rsid w:val="005074FA"/>
    <w:rsid w:val="0050750C"/>
    <w:rsid w:val="0050751F"/>
    <w:rsid w:val="0050775F"/>
    <w:rsid w:val="005079B7"/>
    <w:rsid w:val="00507C2C"/>
    <w:rsid w:val="00507D10"/>
    <w:rsid w:val="00507D99"/>
    <w:rsid w:val="0051031A"/>
    <w:rsid w:val="0051038D"/>
    <w:rsid w:val="0051049B"/>
    <w:rsid w:val="005106F0"/>
    <w:rsid w:val="005107B6"/>
    <w:rsid w:val="00510CC5"/>
    <w:rsid w:val="00510E88"/>
    <w:rsid w:val="00510EE4"/>
    <w:rsid w:val="0051107E"/>
    <w:rsid w:val="005111EA"/>
    <w:rsid w:val="00511243"/>
    <w:rsid w:val="00511367"/>
    <w:rsid w:val="0051157A"/>
    <w:rsid w:val="00511620"/>
    <w:rsid w:val="00511628"/>
    <w:rsid w:val="00511653"/>
    <w:rsid w:val="00511871"/>
    <w:rsid w:val="00511894"/>
    <w:rsid w:val="00511900"/>
    <w:rsid w:val="005119D2"/>
    <w:rsid w:val="00511DF3"/>
    <w:rsid w:val="00511E33"/>
    <w:rsid w:val="00511EAC"/>
    <w:rsid w:val="00511FEC"/>
    <w:rsid w:val="00512052"/>
    <w:rsid w:val="005121B2"/>
    <w:rsid w:val="0051247E"/>
    <w:rsid w:val="0051250A"/>
    <w:rsid w:val="005129F0"/>
    <w:rsid w:val="00512B8F"/>
    <w:rsid w:val="00512EE3"/>
    <w:rsid w:val="005132BA"/>
    <w:rsid w:val="0051396B"/>
    <w:rsid w:val="00513CA4"/>
    <w:rsid w:val="00513EA4"/>
    <w:rsid w:val="00514002"/>
    <w:rsid w:val="00514067"/>
    <w:rsid w:val="005142A7"/>
    <w:rsid w:val="00514499"/>
    <w:rsid w:val="00514726"/>
    <w:rsid w:val="00514CE3"/>
    <w:rsid w:val="00514DF3"/>
    <w:rsid w:val="00514EEC"/>
    <w:rsid w:val="0051502D"/>
    <w:rsid w:val="005150FA"/>
    <w:rsid w:val="0051558D"/>
    <w:rsid w:val="005157C2"/>
    <w:rsid w:val="005158A2"/>
    <w:rsid w:val="00515968"/>
    <w:rsid w:val="00515A65"/>
    <w:rsid w:val="0051618D"/>
    <w:rsid w:val="005161B7"/>
    <w:rsid w:val="00516242"/>
    <w:rsid w:val="00516416"/>
    <w:rsid w:val="0051652D"/>
    <w:rsid w:val="00516542"/>
    <w:rsid w:val="005169C7"/>
    <w:rsid w:val="00516DD2"/>
    <w:rsid w:val="00517A5F"/>
    <w:rsid w:val="00517DFC"/>
    <w:rsid w:val="00517F2D"/>
    <w:rsid w:val="00520087"/>
    <w:rsid w:val="0052029C"/>
    <w:rsid w:val="0052055B"/>
    <w:rsid w:val="0052060B"/>
    <w:rsid w:val="005206DA"/>
    <w:rsid w:val="005208A0"/>
    <w:rsid w:val="00520948"/>
    <w:rsid w:val="00520B43"/>
    <w:rsid w:val="00520C4B"/>
    <w:rsid w:val="00520D4A"/>
    <w:rsid w:val="00520DAB"/>
    <w:rsid w:val="00520EDE"/>
    <w:rsid w:val="00520F04"/>
    <w:rsid w:val="005216EB"/>
    <w:rsid w:val="005216ED"/>
    <w:rsid w:val="00521A6B"/>
    <w:rsid w:val="00521DF2"/>
    <w:rsid w:val="00521F4D"/>
    <w:rsid w:val="00522900"/>
    <w:rsid w:val="005229B2"/>
    <w:rsid w:val="00522AAE"/>
    <w:rsid w:val="005231BC"/>
    <w:rsid w:val="00523696"/>
    <w:rsid w:val="005237AD"/>
    <w:rsid w:val="00523875"/>
    <w:rsid w:val="00523AF0"/>
    <w:rsid w:val="00523BB4"/>
    <w:rsid w:val="00523E28"/>
    <w:rsid w:val="0052417D"/>
    <w:rsid w:val="0052448D"/>
    <w:rsid w:val="005244B1"/>
    <w:rsid w:val="005244F3"/>
    <w:rsid w:val="00524854"/>
    <w:rsid w:val="0052496E"/>
    <w:rsid w:val="00524B84"/>
    <w:rsid w:val="00525000"/>
    <w:rsid w:val="00525062"/>
    <w:rsid w:val="00525413"/>
    <w:rsid w:val="00525745"/>
    <w:rsid w:val="00525A12"/>
    <w:rsid w:val="00525EAE"/>
    <w:rsid w:val="00526014"/>
    <w:rsid w:val="0052603F"/>
    <w:rsid w:val="005260DB"/>
    <w:rsid w:val="00526609"/>
    <w:rsid w:val="00526E7B"/>
    <w:rsid w:val="00526F2C"/>
    <w:rsid w:val="0052705B"/>
    <w:rsid w:val="0052707F"/>
    <w:rsid w:val="0052739C"/>
    <w:rsid w:val="00527562"/>
    <w:rsid w:val="00527969"/>
    <w:rsid w:val="00527B10"/>
    <w:rsid w:val="00527D82"/>
    <w:rsid w:val="00527E2A"/>
    <w:rsid w:val="005300A8"/>
    <w:rsid w:val="00530285"/>
    <w:rsid w:val="005302E5"/>
    <w:rsid w:val="005308A0"/>
    <w:rsid w:val="005309D6"/>
    <w:rsid w:val="00530B6B"/>
    <w:rsid w:val="00530FBB"/>
    <w:rsid w:val="0053124E"/>
    <w:rsid w:val="00531635"/>
    <w:rsid w:val="00531B3F"/>
    <w:rsid w:val="00531BB3"/>
    <w:rsid w:val="00531C44"/>
    <w:rsid w:val="00531DCC"/>
    <w:rsid w:val="00532360"/>
    <w:rsid w:val="00532535"/>
    <w:rsid w:val="005326EB"/>
    <w:rsid w:val="005326F9"/>
    <w:rsid w:val="00532708"/>
    <w:rsid w:val="005328FA"/>
    <w:rsid w:val="00532C87"/>
    <w:rsid w:val="00533299"/>
    <w:rsid w:val="005335C0"/>
    <w:rsid w:val="00533E66"/>
    <w:rsid w:val="00533F38"/>
    <w:rsid w:val="00534063"/>
    <w:rsid w:val="00534243"/>
    <w:rsid w:val="005346F4"/>
    <w:rsid w:val="0053481E"/>
    <w:rsid w:val="00534F60"/>
    <w:rsid w:val="005354C8"/>
    <w:rsid w:val="0053556F"/>
    <w:rsid w:val="00535714"/>
    <w:rsid w:val="00535B0B"/>
    <w:rsid w:val="00535B77"/>
    <w:rsid w:val="00535BCA"/>
    <w:rsid w:val="00535C54"/>
    <w:rsid w:val="00535D0E"/>
    <w:rsid w:val="00535E34"/>
    <w:rsid w:val="00535EAD"/>
    <w:rsid w:val="00535FAC"/>
    <w:rsid w:val="0053655C"/>
    <w:rsid w:val="00537543"/>
    <w:rsid w:val="0053779B"/>
    <w:rsid w:val="00537AB5"/>
    <w:rsid w:val="00537C9D"/>
    <w:rsid w:val="005400BA"/>
    <w:rsid w:val="00540923"/>
    <w:rsid w:val="00540AC7"/>
    <w:rsid w:val="00540DA2"/>
    <w:rsid w:val="00540F80"/>
    <w:rsid w:val="0054119E"/>
    <w:rsid w:val="005413EF"/>
    <w:rsid w:val="00541CAE"/>
    <w:rsid w:val="00541DE8"/>
    <w:rsid w:val="00541FB5"/>
    <w:rsid w:val="005421BC"/>
    <w:rsid w:val="00542292"/>
    <w:rsid w:val="005423AD"/>
    <w:rsid w:val="005424DA"/>
    <w:rsid w:val="005426D1"/>
    <w:rsid w:val="00542713"/>
    <w:rsid w:val="0054278D"/>
    <w:rsid w:val="00542A49"/>
    <w:rsid w:val="00542ADE"/>
    <w:rsid w:val="00542CEF"/>
    <w:rsid w:val="00543368"/>
    <w:rsid w:val="00543C98"/>
    <w:rsid w:val="00543CB1"/>
    <w:rsid w:val="00543DBA"/>
    <w:rsid w:val="00543FFF"/>
    <w:rsid w:val="005443E9"/>
    <w:rsid w:val="00544415"/>
    <w:rsid w:val="00544B2C"/>
    <w:rsid w:val="00544DB2"/>
    <w:rsid w:val="00544FBC"/>
    <w:rsid w:val="005453EC"/>
    <w:rsid w:val="00545647"/>
    <w:rsid w:val="00545761"/>
    <w:rsid w:val="0054582B"/>
    <w:rsid w:val="005458FF"/>
    <w:rsid w:val="00545AF1"/>
    <w:rsid w:val="00545B2E"/>
    <w:rsid w:val="00545F84"/>
    <w:rsid w:val="005460C9"/>
    <w:rsid w:val="0054614F"/>
    <w:rsid w:val="005461FE"/>
    <w:rsid w:val="00546389"/>
    <w:rsid w:val="00546A06"/>
    <w:rsid w:val="00546BC9"/>
    <w:rsid w:val="005478FB"/>
    <w:rsid w:val="00547DD9"/>
    <w:rsid w:val="0055009E"/>
    <w:rsid w:val="005502A4"/>
    <w:rsid w:val="00550665"/>
    <w:rsid w:val="00550AA9"/>
    <w:rsid w:val="00550E7B"/>
    <w:rsid w:val="00551037"/>
    <w:rsid w:val="0055167E"/>
    <w:rsid w:val="00551A47"/>
    <w:rsid w:val="00551C1F"/>
    <w:rsid w:val="00551CC0"/>
    <w:rsid w:val="00551D78"/>
    <w:rsid w:val="00551EA6"/>
    <w:rsid w:val="00551FE8"/>
    <w:rsid w:val="00552162"/>
    <w:rsid w:val="00552290"/>
    <w:rsid w:val="00552828"/>
    <w:rsid w:val="00552889"/>
    <w:rsid w:val="00552B17"/>
    <w:rsid w:val="00552BDE"/>
    <w:rsid w:val="00552DAD"/>
    <w:rsid w:val="00552E6A"/>
    <w:rsid w:val="00552E76"/>
    <w:rsid w:val="005531EC"/>
    <w:rsid w:val="005532F7"/>
    <w:rsid w:val="00553729"/>
    <w:rsid w:val="00553C42"/>
    <w:rsid w:val="0055409E"/>
    <w:rsid w:val="00554231"/>
    <w:rsid w:val="00554629"/>
    <w:rsid w:val="00554814"/>
    <w:rsid w:val="005548FE"/>
    <w:rsid w:val="005549A9"/>
    <w:rsid w:val="00554C0E"/>
    <w:rsid w:val="00554D66"/>
    <w:rsid w:val="00554FE2"/>
    <w:rsid w:val="0055526A"/>
    <w:rsid w:val="0055541F"/>
    <w:rsid w:val="00555518"/>
    <w:rsid w:val="00555729"/>
    <w:rsid w:val="00555768"/>
    <w:rsid w:val="005565B7"/>
    <w:rsid w:val="00557630"/>
    <w:rsid w:val="00557A54"/>
    <w:rsid w:val="00557E4B"/>
    <w:rsid w:val="005601FA"/>
    <w:rsid w:val="005609D0"/>
    <w:rsid w:val="00560BB7"/>
    <w:rsid w:val="00560C84"/>
    <w:rsid w:val="00560DC5"/>
    <w:rsid w:val="00560FE7"/>
    <w:rsid w:val="00561159"/>
    <w:rsid w:val="00561A62"/>
    <w:rsid w:val="00561DB6"/>
    <w:rsid w:val="00561EB1"/>
    <w:rsid w:val="00561F4B"/>
    <w:rsid w:val="0056204D"/>
    <w:rsid w:val="0056224E"/>
    <w:rsid w:val="00562C3F"/>
    <w:rsid w:val="00562D82"/>
    <w:rsid w:val="00562E43"/>
    <w:rsid w:val="005630BB"/>
    <w:rsid w:val="005633FC"/>
    <w:rsid w:val="00563425"/>
    <w:rsid w:val="005634BD"/>
    <w:rsid w:val="0056366A"/>
    <w:rsid w:val="00563AAB"/>
    <w:rsid w:val="00563BE6"/>
    <w:rsid w:val="00563D27"/>
    <w:rsid w:val="00563F0D"/>
    <w:rsid w:val="0056430C"/>
    <w:rsid w:val="00564426"/>
    <w:rsid w:val="005647D3"/>
    <w:rsid w:val="005647EB"/>
    <w:rsid w:val="00564A06"/>
    <w:rsid w:val="00564A70"/>
    <w:rsid w:val="00564CAE"/>
    <w:rsid w:val="00564F47"/>
    <w:rsid w:val="0056516C"/>
    <w:rsid w:val="00565B3F"/>
    <w:rsid w:val="005665D8"/>
    <w:rsid w:val="005665EE"/>
    <w:rsid w:val="00567224"/>
    <w:rsid w:val="005672F3"/>
    <w:rsid w:val="005675DC"/>
    <w:rsid w:val="005675E6"/>
    <w:rsid w:val="00567832"/>
    <w:rsid w:val="00567940"/>
    <w:rsid w:val="00567998"/>
    <w:rsid w:val="00567DC3"/>
    <w:rsid w:val="00567DCB"/>
    <w:rsid w:val="005700A6"/>
    <w:rsid w:val="005701ED"/>
    <w:rsid w:val="00570493"/>
    <w:rsid w:val="005705AB"/>
    <w:rsid w:val="00570717"/>
    <w:rsid w:val="00570754"/>
    <w:rsid w:val="005708D1"/>
    <w:rsid w:val="0057097D"/>
    <w:rsid w:val="00570ADB"/>
    <w:rsid w:val="00570D98"/>
    <w:rsid w:val="00570EF0"/>
    <w:rsid w:val="005710B4"/>
    <w:rsid w:val="0057116A"/>
    <w:rsid w:val="00571245"/>
    <w:rsid w:val="00571320"/>
    <w:rsid w:val="00571454"/>
    <w:rsid w:val="0057161A"/>
    <w:rsid w:val="00571689"/>
    <w:rsid w:val="0057196F"/>
    <w:rsid w:val="005719D3"/>
    <w:rsid w:val="00571C81"/>
    <w:rsid w:val="00571D25"/>
    <w:rsid w:val="00571E03"/>
    <w:rsid w:val="00572110"/>
    <w:rsid w:val="00572783"/>
    <w:rsid w:val="00572784"/>
    <w:rsid w:val="00572EA7"/>
    <w:rsid w:val="00573069"/>
    <w:rsid w:val="00573279"/>
    <w:rsid w:val="00573425"/>
    <w:rsid w:val="0057344E"/>
    <w:rsid w:val="00573826"/>
    <w:rsid w:val="00573BB3"/>
    <w:rsid w:val="00574760"/>
    <w:rsid w:val="0057477B"/>
    <w:rsid w:val="00574A14"/>
    <w:rsid w:val="00574CA2"/>
    <w:rsid w:val="005751C9"/>
    <w:rsid w:val="005752B7"/>
    <w:rsid w:val="0057555F"/>
    <w:rsid w:val="00575D95"/>
    <w:rsid w:val="00575DB7"/>
    <w:rsid w:val="00575E80"/>
    <w:rsid w:val="005762DD"/>
    <w:rsid w:val="0057653D"/>
    <w:rsid w:val="00576646"/>
    <w:rsid w:val="00576AC2"/>
    <w:rsid w:val="00576B21"/>
    <w:rsid w:val="00576C7F"/>
    <w:rsid w:val="00576E1D"/>
    <w:rsid w:val="00576E83"/>
    <w:rsid w:val="0057795F"/>
    <w:rsid w:val="00577C80"/>
    <w:rsid w:val="00577EC8"/>
    <w:rsid w:val="00577ED6"/>
    <w:rsid w:val="00577FC5"/>
    <w:rsid w:val="005805A0"/>
    <w:rsid w:val="005805EF"/>
    <w:rsid w:val="00580699"/>
    <w:rsid w:val="00580B31"/>
    <w:rsid w:val="00580E94"/>
    <w:rsid w:val="00580EEF"/>
    <w:rsid w:val="005811F7"/>
    <w:rsid w:val="00581784"/>
    <w:rsid w:val="00581A1B"/>
    <w:rsid w:val="00581A22"/>
    <w:rsid w:val="00581A59"/>
    <w:rsid w:val="00581BB1"/>
    <w:rsid w:val="00581BF6"/>
    <w:rsid w:val="00581D94"/>
    <w:rsid w:val="00581DBA"/>
    <w:rsid w:val="00581E7B"/>
    <w:rsid w:val="00582379"/>
    <w:rsid w:val="0058247B"/>
    <w:rsid w:val="005827AC"/>
    <w:rsid w:val="00582840"/>
    <w:rsid w:val="00582951"/>
    <w:rsid w:val="0058296A"/>
    <w:rsid w:val="00582EE5"/>
    <w:rsid w:val="00583192"/>
    <w:rsid w:val="00583520"/>
    <w:rsid w:val="00583827"/>
    <w:rsid w:val="00583F62"/>
    <w:rsid w:val="005846BA"/>
    <w:rsid w:val="0058497E"/>
    <w:rsid w:val="00584D23"/>
    <w:rsid w:val="00584ED5"/>
    <w:rsid w:val="00584ED7"/>
    <w:rsid w:val="0058527E"/>
    <w:rsid w:val="005858F6"/>
    <w:rsid w:val="00585EEF"/>
    <w:rsid w:val="0058612A"/>
    <w:rsid w:val="0058618A"/>
    <w:rsid w:val="005868CF"/>
    <w:rsid w:val="00586A9C"/>
    <w:rsid w:val="00586B4F"/>
    <w:rsid w:val="005871B7"/>
    <w:rsid w:val="0058730E"/>
    <w:rsid w:val="005873E3"/>
    <w:rsid w:val="00587689"/>
    <w:rsid w:val="00587773"/>
    <w:rsid w:val="0058787C"/>
    <w:rsid w:val="00587A4D"/>
    <w:rsid w:val="005901A3"/>
    <w:rsid w:val="005902FD"/>
    <w:rsid w:val="005904D3"/>
    <w:rsid w:val="0059056F"/>
    <w:rsid w:val="0059059E"/>
    <w:rsid w:val="00590B17"/>
    <w:rsid w:val="00591258"/>
    <w:rsid w:val="0059136C"/>
    <w:rsid w:val="00591411"/>
    <w:rsid w:val="005914DB"/>
    <w:rsid w:val="005915C3"/>
    <w:rsid w:val="0059185F"/>
    <w:rsid w:val="005918E4"/>
    <w:rsid w:val="00591C47"/>
    <w:rsid w:val="00591E6D"/>
    <w:rsid w:val="00591EE2"/>
    <w:rsid w:val="00592474"/>
    <w:rsid w:val="005924C7"/>
    <w:rsid w:val="00592613"/>
    <w:rsid w:val="00592621"/>
    <w:rsid w:val="00592642"/>
    <w:rsid w:val="00593646"/>
    <w:rsid w:val="00593795"/>
    <w:rsid w:val="00593ACA"/>
    <w:rsid w:val="00593B08"/>
    <w:rsid w:val="00593BB8"/>
    <w:rsid w:val="00593D88"/>
    <w:rsid w:val="00593E21"/>
    <w:rsid w:val="005946BB"/>
    <w:rsid w:val="00594750"/>
    <w:rsid w:val="00594791"/>
    <w:rsid w:val="00594B47"/>
    <w:rsid w:val="00594CFA"/>
    <w:rsid w:val="00594D31"/>
    <w:rsid w:val="00594E95"/>
    <w:rsid w:val="00595108"/>
    <w:rsid w:val="0059576B"/>
    <w:rsid w:val="0059584F"/>
    <w:rsid w:val="005958F5"/>
    <w:rsid w:val="00595C23"/>
    <w:rsid w:val="00595E71"/>
    <w:rsid w:val="005960B7"/>
    <w:rsid w:val="00596117"/>
    <w:rsid w:val="00596470"/>
    <w:rsid w:val="005965ED"/>
    <w:rsid w:val="0059666B"/>
    <w:rsid w:val="00596737"/>
    <w:rsid w:val="00596800"/>
    <w:rsid w:val="00596875"/>
    <w:rsid w:val="00596930"/>
    <w:rsid w:val="005969DA"/>
    <w:rsid w:val="00596D00"/>
    <w:rsid w:val="00596E15"/>
    <w:rsid w:val="00596E3E"/>
    <w:rsid w:val="00596F8B"/>
    <w:rsid w:val="0059708E"/>
    <w:rsid w:val="005971E4"/>
    <w:rsid w:val="00597229"/>
    <w:rsid w:val="005975D0"/>
    <w:rsid w:val="00597BC5"/>
    <w:rsid w:val="00597C3F"/>
    <w:rsid w:val="00597F6B"/>
    <w:rsid w:val="005A023D"/>
    <w:rsid w:val="005A03CC"/>
    <w:rsid w:val="005A09CA"/>
    <w:rsid w:val="005A13B9"/>
    <w:rsid w:val="005A14CC"/>
    <w:rsid w:val="005A1813"/>
    <w:rsid w:val="005A1D8F"/>
    <w:rsid w:val="005A25FA"/>
    <w:rsid w:val="005A26E3"/>
    <w:rsid w:val="005A2703"/>
    <w:rsid w:val="005A2B0A"/>
    <w:rsid w:val="005A2E38"/>
    <w:rsid w:val="005A309E"/>
    <w:rsid w:val="005A31AB"/>
    <w:rsid w:val="005A3385"/>
    <w:rsid w:val="005A34A5"/>
    <w:rsid w:val="005A3680"/>
    <w:rsid w:val="005A36C1"/>
    <w:rsid w:val="005A3982"/>
    <w:rsid w:val="005A3AC9"/>
    <w:rsid w:val="005A3AFF"/>
    <w:rsid w:val="005A3B3F"/>
    <w:rsid w:val="005A3D22"/>
    <w:rsid w:val="005A43F6"/>
    <w:rsid w:val="005A492B"/>
    <w:rsid w:val="005A49C4"/>
    <w:rsid w:val="005A4B63"/>
    <w:rsid w:val="005A4BB6"/>
    <w:rsid w:val="005A4D7C"/>
    <w:rsid w:val="005A4EB9"/>
    <w:rsid w:val="005A543A"/>
    <w:rsid w:val="005A54DD"/>
    <w:rsid w:val="005A56B7"/>
    <w:rsid w:val="005A5C9B"/>
    <w:rsid w:val="005A5D97"/>
    <w:rsid w:val="005A60B6"/>
    <w:rsid w:val="005A63EE"/>
    <w:rsid w:val="005A64CB"/>
    <w:rsid w:val="005A653C"/>
    <w:rsid w:val="005A6A2B"/>
    <w:rsid w:val="005A6C3C"/>
    <w:rsid w:val="005A6F8B"/>
    <w:rsid w:val="005A714E"/>
    <w:rsid w:val="005A7CAD"/>
    <w:rsid w:val="005B0285"/>
    <w:rsid w:val="005B05AA"/>
    <w:rsid w:val="005B0867"/>
    <w:rsid w:val="005B08FD"/>
    <w:rsid w:val="005B091C"/>
    <w:rsid w:val="005B0BD5"/>
    <w:rsid w:val="005B0DC5"/>
    <w:rsid w:val="005B0E68"/>
    <w:rsid w:val="005B0F3C"/>
    <w:rsid w:val="005B1196"/>
    <w:rsid w:val="005B1BFB"/>
    <w:rsid w:val="005B1D81"/>
    <w:rsid w:val="005B1DCD"/>
    <w:rsid w:val="005B1ED0"/>
    <w:rsid w:val="005B21F7"/>
    <w:rsid w:val="005B224C"/>
    <w:rsid w:val="005B22A8"/>
    <w:rsid w:val="005B22A9"/>
    <w:rsid w:val="005B25CC"/>
    <w:rsid w:val="005B273F"/>
    <w:rsid w:val="005B282B"/>
    <w:rsid w:val="005B2A0C"/>
    <w:rsid w:val="005B2A51"/>
    <w:rsid w:val="005B2E9A"/>
    <w:rsid w:val="005B2F0E"/>
    <w:rsid w:val="005B2FBE"/>
    <w:rsid w:val="005B3420"/>
    <w:rsid w:val="005B363F"/>
    <w:rsid w:val="005B37A7"/>
    <w:rsid w:val="005B3BCF"/>
    <w:rsid w:val="005B3D76"/>
    <w:rsid w:val="005B3E9A"/>
    <w:rsid w:val="005B3F44"/>
    <w:rsid w:val="005B3FB5"/>
    <w:rsid w:val="005B3FCB"/>
    <w:rsid w:val="005B4762"/>
    <w:rsid w:val="005B47C0"/>
    <w:rsid w:val="005B47D0"/>
    <w:rsid w:val="005B4C6A"/>
    <w:rsid w:val="005B4E3F"/>
    <w:rsid w:val="005B527C"/>
    <w:rsid w:val="005B5730"/>
    <w:rsid w:val="005B595F"/>
    <w:rsid w:val="005B6331"/>
    <w:rsid w:val="005B6633"/>
    <w:rsid w:val="005B669B"/>
    <w:rsid w:val="005B6736"/>
    <w:rsid w:val="005B6767"/>
    <w:rsid w:val="005B6B13"/>
    <w:rsid w:val="005B6CBF"/>
    <w:rsid w:val="005B70B6"/>
    <w:rsid w:val="005B717D"/>
    <w:rsid w:val="005B7380"/>
    <w:rsid w:val="005B7631"/>
    <w:rsid w:val="005B7EFE"/>
    <w:rsid w:val="005B7F3F"/>
    <w:rsid w:val="005C076D"/>
    <w:rsid w:val="005C0A32"/>
    <w:rsid w:val="005C0E13"/>
    <w:rsid w:val="005C1005"/>
    <w:rsid w:val="005C1086"/>
    <w:rsid w:val="005C1CE9"/>
    <w:rsid w:val="005C1E13"/>
    <w:rsid w:val="005C1F58"/>
    <w:rsid w:val="005C1F9D"/>
    <w:rsid w:val="005C2075"/>
    <w:rsid w:val="005C241B"/>
    <w:rsid w:val="005C24D9"/>
    <w:rsid w:val="005C295A"/>
    <w:rsid w:val="005C296C"/>
    <w:rsid w:val="005C2FBE"/>
    <w:rsid w:val="005C32D3"/>
    <w:rsid w:val="005C33C3"/>
    <w:rsid w:val="005C3481"/>
    <w:rsid w:val="005C37E7"/>
    <w:rsid w:val="005C3A2E"/>
    <w:rsid w:val="005C3A3D"/>
    <w:rsid w:val="005C3DAE"/>
    <w:rsid w:val="005C40EF"/>
    <w:rsid w:val="005C42B3"/>
    <w:rsid w:val="005C42C5"/>
    <w:rsid w:val="005C42C7"/>
    <w:rsid w:val="005C4DBF"/>
    <w:rsid w:val="005C522E"/>
    <w:rsid w:val="005C5578"/>
    <w:rsid w:val="005C5BA7"/>
    <w:rsid w:val="005C5CA9"/>
    <w:rsid w:val="005C5EEC"/>
    <w:rsid w:val="005C6167"/>
    <w:rsid w:val="005C6406"/>
    <w:rsid w:val="005C65E0"/>
    <w:rsid w:val="005C6601"/>
    <w:rsid w:val="005C660A"/>
    <w:rsid w:val="005C66AA"/>
    <w:rsid w:val="005C687A"/>
    <w:rsid w:val="005C6ADE"/>
    <w:rsid w:val="005C7140"/>
    <w:rsid w:val="005C74C6"/>
    <w:rsid w:val="005C799A"/>
    <w:rsid w:val="005C7B4B"/>
    <w:rsid w:val="005C7BF8"/>
    <w:rsid w:val="005D02F6"/>
    <w:rsid w:val="005D02FF"/>
    <w:rsid w:val="005D03AE"/>
    <w:rsid w:val="005D0436"/>
    <w:rsid w:val="005D0674"/>
    <w:rsid w:val="005D0712"/>
    <w:rsid w:val="005D0D24"/>
    <w:rsid w:val="005D0E4E"/>
    <w:rsid w:val="005D0EB3"/>
    <w:rsid w:val="005D0EC6"/>
    <w:rsid w:val="005D117B"/>
    <w:rsid w:val="005D1C33"/>
    <w:rsid w:val="005D1DA5"/>
    <w:rsid w:val="005D1F86"/>
    <w:rsid w:val="005D2089"/>
    <w:rsid w:val="005D238A"/>
    <w:rsid w:val="005D261D"/>
    <w:rsid w:val="005D2693"/>
    <w:rsid w:val="005D3176"/>
    <w:rsid w:val="005D328A"/>
    <w:rsid w:val="005D349A"/>
    <w:rsid w:val="005D387E"/>
    <w:rsid w:val="005D3CAD"/>
    <w:rsid w:val="005D3D1E"/>
    <w:rsid w:val="005D40C6"/>
    <w:rsid w:val="005D4418"/>
    <w:rsid w:val="005D4481"/>
    <w:rsid w:val="005D45BE"/>
    <w:rsid w:val="005D495C"/>
    <w:rsid w:val="005D49CB"/>
    <w:rsid w:val="005D5146"/>
    <w:rsid w:val="005D520D"/>
    <w:rsid w:val="005D52FF"/>
    <w:rsid w:val="005D53D2"/>
    <w:rsid w:val="005D5F60"/>
    <w:rsid w:val="005D60DD"/>
    <w:rsid w:val="005D618F"/>
    <w:rsid w:val="005D622F"/>
    <w:rsid w:val="005D62AD"/>
    <w:rsid w:val="005D6508"/>
    <w:rsid w:val="005D67E8"/>
    <w:rsid w:val="005D6861"/>
    <w:rsid w:val="005D6941"/>
    <w:rsid w:val="005D6AB4"/>
    <w:rsid w:val="005D6AE3"/>
    <w:rsid w:val="005D6C41"/>
    <w:rsid w:val="005D7516"/>
    <w:rsid w:val="005D75AC"/>
    <w:rsid w:val="005D7609"/>
    <w:rsid w:val="005D77F1"/>
    <w:rsid w:val="005D7B62"/>
    <w:rsid w:val="005D7FC4"/>
    <w:rsid w:val="005E002D"/>
    <w:rsid w:val="005E027D"/>
    <w:rsid w:val="005E02AB"/>
    <w:rsid w:val="005E02BE"/>
    <w:rsid w:val="005E05F2"/>
    <w:rsid w:val="005E06A4"/>
    <w:rsid w:val="005E0861"/>
    <w:rsid w:val="005E0F1A"/>
    <w:rsid w:val="005E109D"/>
    <w:rsid w:val="005E1190"/>
    <w:rsid w:val="005E151D"/>
    <w:rsid w:val="005E1CB2"/>
    <w:rsid w:val="005E2029"/>
    <w:rsid w:val="005E22A4"/>
    <w:rsid w:val="005E22A7"/>
    <w:rsid w:val="005E25AF"/>
    <w:rsid w:val="005E29BB"/>
    <w:rsid w:val="005E2B1C"/>
    <w:rsid w:val="005E2B49"/>
    <w:rsid w:val="005E2DE3"/>
    <w:rsid w:val="005E3277"/>
    <w:rsid w:val="005E3B68"/>
    <w:rsid w:val="005E3DE3"/>
    <w:rsid w:val="005E3E2F"/>
    <w:rsid w:val="005E3E95"/>
    <w:rsid w:val="005E4203"/>
    <w:rsid w:val="005E43C9"/>
    <w:rsid w:val="005E4509"/>
    <w:rsid w:val="005E4524"/>
    <w:rsid w:val="005E4DD8"/>
    <w:rsid w:val="005E4DDB"/>
    <w:rsid w:val="005E502E"/>
    <w:rsid w:val="005E5179"/>
    <w:rsid w:val="005E51FC"/>
    <w:rsid w:val="005E52CD"/>
    <w:rsid w:val="005E56F6"/>
    <w:rsid w:val="005E585B"/>
    <w:rsid w:val="005E5934"/>
    <w:rsid w:val="005E5959"/>
    <w:rsid w:val="005E5A71"/>
    <w:rsid w:val="005E5CEC"/>
    <w:rsid w:val="005E606C"/>
    <w:rsid w:val="005E6600"/>
    <w:rsid w:val="005E6D53"/>
    <w:rsid w:val="005E708B"/>
    <w:rsid w:val="005E7345"/>
    <w:rsid w:val="005E7433"/>
    <w:rsid w:val="005E7814"/>
    <w:rsid w:val="005E7AC4"/>
    <w:rsid w:val="005E7BCA"/>
    <w:rsid w:val="005F027E"/>
    <w:rsid w:val="005F030C"/>
    <w:rsid w:val="005F0657"/>
    <w:rsid w:val="005F07A0"/>
    <w:rsid w:val="005F0A08"/>
    <w:rsid w:val="005F0A3E"/>
    <w:rsid w:val="005F0C33"/>
    <w:rsid w:val="005F1AE5"/>
    <w:rsid w:val="005F1C87"/>
    <w:rsid w:val="005F1DD0"/>
    <w:rsid w:val="005F1DEF"/>
    <w:rsid w:val="005F245B"/>
    <w:rsid w:val="005F2694"/>
    <w:rsid w:val="005F285F"/>
    <w:rsid w:val="005F2B4B"/>
    <w:rsid w:val="005F2CB3"/>
    <w:rsid w:val="005F317A"/>
    <w:rsid w:val="005F337F"/>
    <w:rsid w:val="005F3CC0"/>
    <w:rsid w:val="005F3CCB"/>
    <w:rsid w:val="005F4214"/>
    <w:rsid w:val="005F433B"/>
    <w:rsid w:val="005F43A2"/>
    <w:rsid w:val="005F4497"/>
    <w:rsid w:val="005F483C"/>
    <w:rsid w:val="005F4BA5"/>
    <w:rsid w:val="005F4D1D"/>
    <w:rsid w:val="005F5041"/>
    <w:rsid w:val="005F54ED"/>
    <w:rsid w:val="005F550B"/>
    <w:rsid w:val="005F5622"/>
    <w:rsid w:val="005F58B9"/>
    <w:rsid w:val="005F5C95"/>
    <w:rsid w:val="005F5D63"/>
    <w:rsid w:val="005F5E0B"/>
    <w:rsid w:val="005F5E1F"/>
    <w:rsid w:val="005F63ED"/>
    <w:rsid w:val="005F6824"/>
    <w:rsid w:val="005F68EE"/>
    <w:rsid w:val="005F6BD4"/>
    <w:rsid w:val="005F73E6"/>
    <w:rsid w:val="005F73EE"/>
    <w:rsid w:val="005F7407"/>
    <w:rsid w:val="005F769E"/>
    <w:rsid w:val="005F79A1"/>
    <w:rsid w:val="005F7A9E"/>
    <w:rsid w:val="005F7B0B"/>
    <w:rsid w:val="005F7C6A"/>
    <w:rsid w:val="00600384"/>
    <w:rsid w:val="0060064D"/>
    <w:rsid w:val="00600718"/>
    <w:rsid w:val="00600735"/>
    <w:rsid w:val="0060086C"/>
    <w:rsid w:val="00600B37"/>
    <w:rsid w:val="00600EC8"/>
    <w:rsid w:val="00600EF6"/>
    <w:rsid w:val="0060109A"/>
    <w:rsid w:val="0060118A"/>
    <w:rsid w:val="00601298"/>
    <w:rsid w:val="00601376"/>
    <w:rsid w:val="00601455"/>
    <w:rsid w:val="006014A5"/>
    <w:rsid w:val="006015D7"/>
    <w:rsid w:val="0060178E"/>
    <w:rsid w:val="00601D54"/>
    <w:rsid w:val="0060223F"/>
    <w:rsid w:val="006023D9"/>
    <w:rsid w:val="0060250B"/>
    <w:rsid w:val="0060267C"/>
    <w:rsid w:val="00602C74"/>
    <w:rsid w:val="006030E7"/>
    <w:rsid w:val="00603756"/>
    <w:rsid w:val="0060380E"/>
    <w:rsid w:val="006038E0"/>
    <w:rsid w:val="00603D53"/>
    <w:rsid w:val="00603D5B"/>
    <w:rsid w:val="00603EAE"/>
    <w:rsid w:val="00603EAF"/>
    <w:rsid w:val="006041D7"/>
    <w:rsid w:val="00605066"/>
    <w:rsid w:val="006055FA"/>
    <w:rsid w:val="0060576A"/>
    <w:rsid w:val="0060578F"/>
    <w:rsid w:val="00605989"/>
    <w:rsid w:val="00605BA9"/>
    <w:rsid w:val="00605CEB"/>
    <w:rsid w:val="00606508"/>
    <w:rsid w:val="00606813"/>
    <w:rsid w:val="00606C41"/>
    <w:rsid w:val="00606EE9"/>
    <w:rsid w:val="00607078"/>
    <w:rsid w:val="006070AF"/>
    <w:rsid w:val="0060723A"/>
    <w:rsid w:val="006072C1"/>
    <w:rsid w:val="006073E7"/>
    <w:rsid w:val="006074D5"/>
    <w:rsid w:val="006077E3"/>
    <w:rsid w:val="00607927"/>
    <w:rsid w:val="0061051D"/>
    <w:rsid w:val="00610588"/>
    <w:rsid w:val="006105EF"/>
    <w:rsid w:val="00610B82"/>
    <w:rsid w:val="00610D1B"/>
    <w:rsid w:val="00610E4C"/>
    <w:rsid w:val="00610F89"/>
    <w:rsid w:val="00611240"/>
    <w:rsid w:val="0061156C"/>
    <w:rsid w:val="006117BA"/>
    <w:rsid w:val="006119C8"/>
    <w:rsid w:val="006119F7"/>
    <w:rsid w:val="00611A20"/>
    <w:rsid w:val="00611A32"/>
    <w:rsid w:val="00611B04"/>
    <w:rsid w:val="00611BF6"/>
    <w:rsid w:val="00611D87"/>
    <w:rsid w:val="00611FFF"/>
    <w:rsid w:val="00612323"/>
    <w:rsid w:val="0061288B"/>
    <w:rsid w:val="00612919"/>
    <w:rsid w:val="00612E39"/>
    <w:rsid w:val="006130C5"/>
    <w:rsid w:val="00613144"/>
    <w:rsid w:val="0061353A"/>
    <w:rsid w:val="006136BC"/>
    <w:rsid w:val="00613BCE"/>
    <w:rsid w:val="00614460"/>
    <w:rsid w:val="00614574"/>
    <w:rsid w:val="006145CD"/>
    <w:rsid w:val="00614871"/>
    <w:rsid w:val="00614A0B"/>
    <w:rsid w:val="00614AD1"/>
    <w:rsid w:val="00614F0E"/>
    <w:rsid w:val="006150D7"/>
    <w:rsid w:val="0061543B"/>
    <w:rsid w:val="00615A26"/>
    <w:rsid w:val="00615AEF"/>
    <w:rsid w:val="00615D7D"/>
    <w:rsid w:val="00615FEC"/>
    <w:rsid w:val="00616918"/>
    <w:rsid w:val="006169A0"/>
    <w:rsid w:val="006169BC"/>
    <w:rsid w:val="00616CD1"/>
    <w:rsid w:val="00616D9E"/>
    <w:rsid w:val="00616EDB"/>
    <w:rsid w:val="00617161"/>
    <w:rsid w:val="00617213"/>
    <w:rsid w:val="006175D9"/>
    <w:rsid w:val="0061769B"/>
    <w:rsid w:val="00617746"/>
    <w:rsid w:val="00617764"/>
    <w:rsid w:val="006177C2"/>
    <w:rsid w:val="00617CAC"/>
    <w:rsid w:val="00617E95"/>
    <w:rsid w:val="006203CA"/>
    <w:rsid w:val="0062053D"/>
    <w:rsid w:val="0062059F"/>
    <w:rsid w:val="00620AD0"/>
    <w:rsid w:val="00620E0E"/>
    <w:rsid w:val="00620E28"/>
    <w:rsid w:val="00620FC5"/>
    <w:rsid w:val="00621254"/>
    <w:rsid w:val="006214C6"/>
    <w:rsid w:val="00621558"/>
    <w:rsid w:val="006215F6"/>
    <w:rsid w:val="0062175D"/>
    <w:rsid w:val="0062197A"/>
    <w:rsid w:val="00621C86"/>
    <w:rsid w:val="00621F21"/>
    <w:rsid w:val="00622630"/>
    <w:rsid w:val="006228E2"/>
    <w:rsid w:val="00622943"/>
    <w:rsid w:val="00622EF2"/>
    <w:rsid w:val="00623514"/>
    <w:rsid w:val="006237F4"/>
    <w:rsid w:val="00623B1A"/>
    <w:rsid w:val="00623C9B"/>
    <w:rsid w:val="00624267"/>
    <w:rsid w:val="006243AB"/>
    <w:rsid w:val="0062450A"/>
    <w:rsid w:val="00624545"/>
    <w:rsid w:val="006246E4"/>
    <w:rsid w:val="00624783"/>
    <w:rsid w:val="006247FA"/>
    <w:rsid w:val="00624BC3"/>
    <w:rsid w:val="00624E29"/>
    <w:rsid w:val="00625085"/>
    <w:rsid w:val="0062558C"/>
    <w:rsid w:val="006255B0"/>
    <w:rsid w:val="0062590C"/>
    <w:rsid w:val="006259C6"/>
    <w:rsid w:val="00625B9E"/>
    <w:rsid w:val="006262A6"/>
    <w:rsid w:val="00626389"/>
    <w:rsid w:val="00626AC2"/>
    <w:rsid w:val="00626B0B"/>
    <w:rsid w:val="00626F1E"/>
    <w:rsid w:val="006271C7"/>
    <w:rsid w:val="006276B8"/>
    <w:rsid w:val="00627909"/>
    <w:rsid w:val="00627C9D"/>
    <w:rsid w:val="00627E55"/>
    <w:rsid w:val="006301E2"/>
    <w:rsid w:val="0063072B"/>
    <w:rsid w:val="0063073F"/>
    <w:rsid w:val="006307DC"/>
    <w:rsid w:val="00630878"/>
    <w:rsid w:val="00630A46"/>
    <w:rsid w:val="00630AE0"/>
    <w:rsid w:val="00630AF3"/>
    <w:rsid w:val="00630D8B"/>
    <w:rsid w:val="00630DEE"/>
    <w:rsid w:val="00630F4D"/>
    <w:rsid w:val="00631263"/>
    <w:rsid w:val="00631501"/>
    <w:rsid w:val="00631860"/>
    <w:rsid w:val="00631873"/>
    <w:rsid w:val="006318B6"/>
    <w:rsid w:val="006318F6"/>
    <w:rsid w:val="006319D2"/>
    <w:rsid w:val="00631DFD"/>
    <w:rsid w:val="00631F72"/>
    <w:rsid w:val="0063216F"/>
    <w:rsid w:val="00632A9D"/>
    <w:rsid w:val="00632C65"/>
    <w:rsid w:val="00633123"/>
    <w:rsid w:val="0063316F"/>
    <w:rsid w:val="00633282"/>
    <w:rsid w:val="006339C3"/>
    <w:rsid w:val="00633A1E"/>
    <w:rsid w:val="00633B63"/>
    <w:rsid w:val="00633C44"/>
    <w:rsid w:val="00633C9E"/>
    <w:rsid w:val="00633CAD"/>
    <w:rsid w:val="00633DDE"/>
    <w:rsid w:val="00633E5C"/>
    <w:rsid w:val="00633EBF"/>
    <w:rsid w:val="00633F26"/>
    <w:rsid w:val="00633FA6"/>
    <w:rsid w:val="00634043"/>
    <w:rsid w:val="006340F7"/>
    <w:rsid w:val="006341EA"/>
    <w:rsid w:val="00634506"/>
    <w:rsid w:val="0063463D"/>
    <w:rsid w:val="006347AE"/>
    <w:rsid w:val="00634AD0"/>
    <w:rsid w:val="00634E15"/>
    <w:rsid w:val="00635290"/>
    <w:rsid w:val="006355C1"/>
    <w:rsid w:val="0063587E"/>
    <w:rsid w:val="0063601F"/>
    <w:rsid w:val="00636304"/>
    <w:rsid w:val="006364EC"/>
    <w:rsid w:val="0063655E"/>
    <w:rsid w:val="006366B8"/>
    <w:rsid w:val="00636A52"/>
    <w:rsid w:val="00636AB3"/>
    <w:rsid w:val="00636B18"/>
    <w:rsid w:val="00636EA8"/>
    <w:rsid w:val="006374D3"/>
    <w:rsid w:val="006375F8"/>
    <w:rsid w:val="00637A51"/>
    <w:rsid w:val="00637E9E"/>
    <w:rsid w:val="006400AF"/>
    <w:rsid w:val="00640102"/>
    <w:rsid w:val="00640497"/>
    <w:rsid w:val="0064052D"/>
    <w:rsid w:val="00640D55"/>
    <w:rsid w:val="00640DF6"/>
    <w:rsid w:val="00640F89"/>
    <w:rsid w:val="006410D1"/>
    <w:rsid w:val="00641118"/>
    <w:rsid w:val="00641411"/>
    <w:rsid w:val="00641604"/>
    <w:rsid w:val="00641CE8"/>
    <w:rsid w:val="00641D8B"/>
    <w:rsid w:val="00641E79"/>
    <w:rsid w:val="00642270"/>
    <w:rsid w:val="0064227C"/>
    <w:rsid w:val="00642825"/>
    <w:rsid w:val="0064284E"/>
    <w:rsid w:val="0064295A"/>
    <w:rsid w:val="0064319F"/>
    <w:rsid w:val="006434CF"/>
    <w:rsid w:val="00643C68"/>
    <w:rsid w:val="006441DE"/>
    <w:rsid w:val="0064438A"/>
    <w:rsid w:val="00644796"/>
    <w:rsid w:val="00644B55"/>
    <w:rsid w:val="00644BF0"/>
    <w:rsid w:val="00644C97"/>
    <w:rsid w:val="00644D4B"/>
    <w:rsid w:val="00645758"/>
    <w:rsid w:val="00645BF0"/>
    <w:rsid w:val="00645F76"/>
    <w:rsid w:val="0064607E"/>
    <w:rsid w:val="0064642C"/>
    <w:rsid w:val="00646505"/>
    <w:rsid w:val="00646539"/>
    <w:rsid w:val="00646CE0"/>
    <w:rsid w:val="0064750F"/>
    <w:rsid w:val="00647574"/>
    <w:rsid w:val="0064758E"/>
    <w:rsid w:val="0064764D"/>
    <w:rsid w:val="00647BCE"/>
    <w:rsid w:val="00647CD5"/>
    <w:rsid w:val="00647D3A"/>
    <w:rsid w:val="00647F07"/>
    <w:rsid w:val="00650098"/>
    <w:rsid w:val="00650113"/>
    <w:rsid w:val="006501FA"/>
    <w:rsid w:val="006502B6"/>
    <w:rsid w:val="006506A6"/>
    <w:rsid w:val="00650B36"/>
    <w:rsid w:val="00650EBB"/>
    <w:rsid w:val="006512F8"/>
    <w:rsid w:val="00651556"/>
    <w:rsid w:val="0065178A"/>
    <w:rsid w:val="00651AED"/>
    <w:rsid w:val="00651F11"/>
    <w:rsid w:val="00651F4A"/>
    <w:rsid w:val="00652530"/>
    <w:rsid w:val="006526A3"/>
    <w:rsid w:val="00652769"/>
    <w:rsid w:val="006527D5"/>
    <w:rsid w:val="00652909"/>
    <w:rsid w:val="00652D0C"/>
    <w:rsid w:val="00652F7B"/>
    <w:rsid w:val="0065385D"/>
    <w:rsid w:val="0065395B"/>
    <w:rsid w:val="00653CF4"/>
    <w:rsid w:val="00653EC6"/>
    <w:rsid w:val="00654140"/>
    <w:rsid w:val="0065419B"/>
    <w:rsid w:val="006542A4"/>
    <w:rsid w:val="006548E8"/>
    <w:rsid w:val="00654953"/>
    <w:rsid w:val="00654C7F"/>
    <w:rsid w:val="00654CF9"/>
    <w:rsid w:val="00654FB1"/>
    <w:rsid w:val="0065523F"/>
    <w:rsid w:val="00655980"/>
    <w:rsid w:val="00655CCF"/>
    <w:rsid w:val="00655D8C"/>
    <w:rsid w:val="00655F60"/>
    <w:rsid w:val="006568B1"/>
    <w:rsid w:val="00656A00"/>
    <w:rsid w:val="00656B4A"/>
    <w:rsid w:val="00656BCB"/>
    <w:rsid w:val="00656C29"/>
    <w:rsid w:val="00656C7D"/>
    <w:rsid w:val="006573D7"/>
    <w:rsid w:val="006573DD"/>
    <w:rsid w:val="006575BE"/>
    <w:rsid w:val="0065768D"/>
    <w:rsid w:val="006576F2"/>
    <w:rsid w:val="00657BD5"/>
    <w:rsid w:val="00657C60"/>
    <w:rsid w:val="006600B1"/>
    <w:rsid w:val="006601A4"/>
    <w:rsid w:val="006603E0"/>
    <w:rsid w:val="00660597"/>
    <w:rsid w:val="00660C70"/>
    <w:rsid w:val="00660CA6"/>
    <w:rsid w:val="00660DD0"/>
    <w:rsid w:val="00660E06"/>
    <w:rsid w:val="00660F7C"/>
    <w:rsid w:val="00660FBE"/>
    <w:rsid w:val="0066123C"/>
    <w:rsid w:val="00661985"/>
    <w:rsid w:val="006620EE"/>
    <w:rsid w:val="0066235C"/>
    <w:rsid w:val="006623CC"/>
    <w:rsid w:val="00662874"/>
    <w:rsid w:val="00662A17"/>
    <w:rsid w:val="00662E4C"/>
    <w:rsid w:val="00662F91"/>
    <w:rsid w:val="00663323"/>
    <w:rsid w:val="00663436"/>
    <w:rsid w:val="0066353D"/>
    <w:rsid w:val="006636CB"/>
    <w:rsid w:val="00663774"/>
    <w:rsid w:val="006639FC"/>
    <w:rsid w:val="00663D86"/>
    <w:rsid w:val="00664673"/>
    <w:rsid w:val="00664850"/>
    <w:rsid w:val="00664AD0"/>
    <w:rsid w:val="00664B0F"/>
    <w:rsid w:val="00664B7A"/>
    <w:rsid w:val="00664C0C"/>
    <w:rsid w:val="006651FF"/>
    <w:rsid w:val="006652F0"/>
    <w:rsid w:val="006654B3"/>
    <w:rsid w:val="0066558C"/>
    <w:rsid w:val="0066577A"/>
    <w:rsid w:val="0066581D"/>
    <w:rsid w:val="00665A05"/>
    <w:rsid w:val="00665A4A"/>
    <w:rsid w:val="00665A8A"/>
    <w:rsid w:val="00665C86"/>
    <w:rsid w:val="006664EF"/>
    <w:rsid w:val="0066655D"/>
    <w:rsid w:val="00666772"/>
    <w:rsid w:val="006667B2"/>
    <w:rsid w:val="00666D8A"/>
    <w:rsid w:val="00666DF4"/>
    <w:rsid w:val="00666E4F"/>
    <w:rsid w:val="0066707A"/>
    <w:rsid w:val="00667541"/>
    <w:rsid w:val="00667E6C"/>
    <w:rsid w:val="006701BF"/>
    <w:rsid w:val="00670C04"/>
    <w:rsid w:val="00670C47"/>
    <w:rsid w:val="00670C8F"/>
    <w:rsid w:val="00670DC3"/>
    <w:rsid w:val="00670E24"/>
    <w:rsid w:val="0067149D"/>
    <w:rsid w:val="00671772"/>
    <w:rsid w:val="00672254"/>
    <w:rsid w:val="006722AD"/>
    <w:rsid w:val="006722E9"/>
    <w:rsid w:val="00672591"/>
    <w:rsid w:val="00672B79"/>
    <w:rsid w:val="00673142"/>
    <w:rsid w:val="006733D4"/>
    <w:rsid w:val="0067359D"/>
    <w:rsid w:val="00673B31"/>
    <w:rsid w:val="00673BEC"/>
    <w:rsid w:val="00673C2F"/>
    <w:rsid w:val="00673D1D"/>
    <w:rsid w:val="00673F7D"/>
    <w:rsid w:val="00674512"/>
    <w:rsid w:val="0067488E"/>
    <w:rsid w:val="00674A85"/>
    <w:rsid w:val="00674E77"/>
    <w:rsid w:val="00674F41"/>
    <w:rsid w:val="00674F55"/>
    <w:rsid w:val="006751A1"/>
    <w:rsid w:val="00675225"/>
    <w:rsid w:val="0067529E"/>
    <w:rsid w:val="00675659"/>
    <w:rsid w:val="00675E15"/>
    <w:rsid w:val="00675EBC"/>
    <w:rsid w:val="0067604B"/>
    <w:rsid w:val="00676091"/>
    <w:rsid w:val="006761DD"/>
    <w:rsid w:val="0067660F"/>
    <w:rsid w:val="00676CD8"/>
    <w:rsid w:val="00676F4F"/>
    <w:rsid w:val="00677140"/>
    <w:rsid w:val="006772D3"/>
    <w:rsid w:val="0067730C"/>
    <w:rsid w:val="0067736B"/>
    <w:rsid w:val="00677460"/>
    <w:rsid w:val="006774F5"/>
    <w:rsid w:val="0067753B"/>
    <w:rsid w:val="006776F6"/>
    <w:rsid w:val="00677706"/>
    <w:rsid w:val="006777FD"/>
    <w:rsid w:val="0067790B"/>
    <w:rsid w:val="006779B7"/>
    <w:rsid w:val="00677C1A"/>
    <w:rsid w:val="00677E39"/>
    <w:rsid w:val="00677F42"/>
    <w:rsid w:val="00680072"/>
    <w:rsid w:val="0068030E"/>
    <w:rsid w:val="006805E7"/>
    <w:rsid w:val="006806A7"/>
    <w:rsid w:val="00680A12"/>
    <w:rsid w:val="00680B1A"/>
    <w:rsid w:val="00680BF1"/>
    <w:rsid w:val="00680E25"/>
    <w:rsid w:val="00680E41"/>
    <w:rsid w:val="00681800"/>
    <w:rsid w:val="0068203C"/>
    <w:rsid w:val="00682049"/>
    <w:rsid w:val="006826FB"/>
    <w:rsid w:val="00682BFE"/>
    <w:rsid w:val="00682C87"/>
    <w:rsid w:val="00682F1B"/>
    <w:rsid w:val="00682FAB"/>
    <w:rsid w:val="00683269"/>
    <w:rsid w:val="00683C79"/>
    <w:rsid w:val="00683E11"/>
    <w:rsid w:val="00684047"/>
    <w:rsid w:val="0068482E"/>
    <w:rsid w:val="0068495B"/>
    <w:rsid w:val="00684B79"/>
    <w:rsid w:val="00684B7A"/>
    <w:rsid w:val="00684C9C"/>
    <w:rsid w:val="00684D65"/>
    <w:rsid w:val="00684F4F"/>
    <w:rsid w:val="006850A1"/>
    <w:rsid w:val="0068510B"/>
    <w:rsid w:val="00685128"/>
    <w:rsid w:val="00685177"/>
    <w:rsid w:val="00685422"/>
    <w:rsid w:val="00686064"/>
    <w:rsid w:val="00686481"/>
    <w:rsid w:val="0068657C"/>
    <w:rsid w:val="0068693F"/>
    <w:rsid w:val="006869D7"/>
    <w:rsid w:val="00686BCD"/>
    <w:rsid w:val="00686C8D"/>
    <w:rsid w:val="00687329"/>
    <w:rsid w:val="006874B2"/>
    <w:rsid w:val="00687A10"/>
    <w:rsid w:val="00687BAE"/>
    <w:rsid w:val="00687C85"/>
    <w:rsid w:val="00687F71"/>
    <w:rsid w:val="00690104"/>
    <w:rsid w:val="0069011C"/>
    <w:rsid w:val="006906C6"/>
    <w:rsid w:val="00690A99"/>
    <w:rsid w:val="00690AF5"/>
    <w:rsid w:val="00690F1D"/>
    <w:rsid w:val="006910B4"/>
    <w:rsid w:val="00691E04"/>
    <w:rsid w:val="00691EB5"/>
    <w:rsid w:val="00691F15"/>
    <w:rsid w:val="0069206B"/>
    <w:rsid w:val="00692678"/>
    <w:rsid w:val="0069292A"/>
    <w:rsid w:val="00692F96"/>
    <w:rsid w:val="00692F97"/>
    <w:rsid w:val="0069339B"/>
    <w:rsid w:val="00693547"/>
    <w:rsid w:val="006937CA"/>
    <w:rsid w:val="006937DB"/>
    <w:rsid w:val="006938EC"/>
    <w:rsid w:val="00693D12"/>
    <w:rsid w:val="00693EB1"/>
    <w:rsid w:val="00693F6C"/>
    <w:rsid w:val="0069415A"/>
    <w:rsid w:val="0069496C"/>
    <w:rsid w:val="006949C2"/>
    <w:rsid w:val="00694BAE"/>
    <w:rsid w:val="00694DA0"/>
    <w:rsid w:val="00694E33"/>
    <w:rsid w:val="0069567E"/>
    <w:rsid w:val="006956DC"/>
    <w:rsid w:val="0069576A"/>
    <w:rsid w:val="0069582B"/>
    <w:rsid w:val="006959A0"/>
    <w:rsid w:val="00695CE9"/>
    <w:rsid w:val="00695E2A"/>
    <w:rsid w:val="006962A6"/>
    <w:rsid w:val="0069639D"/>
    <w:rsid w:val="006963C7"/>
    <w:rsid w:val="0069647C"/>
    <w:rsid w:val="006964B6"/>
    <w:rsid w:val="00696702"/>
    <w:rsid w:val="00696C55"/>
    <w:rsid w:val="00696DA7"/>
    <w:rsid w:val="00696E1E"/>
    <w:rsid w:val="006972CE"/>
    <w:rsid w:val="00697305"/>
    <w:rsid w:val="0069788B"/>
    <w:rsid w:val="00697CAA"/>
    <w:rsid w:val="00697DB1"/>
    <w:rsid w:val="006A0102"/>
    <w:rsid w:val="006A015E"/>
    <w:rsid w:val="006A02C3"/>
    <w:rsid w:val="006A0443"/>
    <w:rsid w:val="006A05FE"/>
    <w:rsid w:val="006A0619"/>
    <w:rsid w:val="006A0AB0"/>
    <w:rsid w:val="006A0B50"/>
    <w:rsid w:val="006A0DB9"/>
    <w:rsid w:val="006A0E8D"/>
    <w:rsid w:val="006A1642"/>
    <w:rsid w:val="006A1839"/>
    <w:rsid w:val="006A1983"/>
    <w:rsid w:val="006A1B24"/>
    <w:rsid w:val="006A1BA5"/>
    <w:rsid w:val="006A2047"/>
    <w:rsid w:val="006A23A2"/>
    <w:rsid w:val="006A25FD"/>
    <w:rsid w:val="006A26A3"/>
    <w:rsid w:val="006A2A4C"/>
    <w:rsid w:val="006A2B69"/>
    <w:rsid w:val="006A2E92"/>
    <w:rsid w:val="006A2F50"/>
    <w:rsid w:val="006A33F5"/>
    <w:rsid w:val="006A34E3"/>
    <w:rsid w:val="006A3E85"/>
    <w:rsid w:val="006A3FDA"/>
    <w:rsid w:val="006A4069"/>
    <w:rsid w:val="006A41C5"/>
    <w:rsid w:val="006A45DD"/>
    <w:rsid w:val="006A48D7"/>
    <w:rsid w:val="006A4D4F"/>
    <w:rsid w:val="006A5021"/>
    <w:rsid w:val="006A5785"/>
    <w:rsid w:val="006A58BA"/>
    <w:rsid w:val="006A5A4E"/>
    <w:rsid w:val="006A5AFB"/>
    <w:rsid w:val="006A5B7A"/>
    <w:rsid w:val="006A5D9C"/>
    <w:rsid w:val="006A6274"/>
    <w:rsid w:val="006A62EB"/>
    <w:rsid w:val="006A66A3"/>
    <w:rsid w:val="006A6809"/>
    <w:rsid w:val="006A6877"/>
    <w:rsid w:val="006A6DF6"/>
    <w:rsid w:val="006A6F95"/>
    <w:rsid w:val="006A6FA1"/>
    <w:rsid w:val="006A7131"/>
    <w:rsid w:val="006A71A6"/>
    <w:rsid w:val="006A7424"/>
    <w:rsid w:val="006A74CD"/>
    <w:rsid w:val="006A7653"/>
    <w:rsid w:val="006A766F"/>
    <w:rsid w:val="006A7737"/>
    <w:rsid w:val="006A7AC5"/>
    <w:rsid w:val="006A7C8E"/>
    <w:rsid w:val="006A7D5C"/>
    <w:rsid w:val="006A7DCD"/>
    <w:rsid w:val="006B019F"/>
    <w:rsid w:val="006B04CE"/>
    <w:rsid w:val="006B0549"/>
    <w:rsid w:val="006B096F"/>
    <w:rsid w:val="006B0BAF"/>
    <w:rsid w:val="006B0E77"/>
    <w:rsid w:val="006B0F88"/>
    <w:rsid w:val="006B10E9"/>
    <w:rsid w:val="006B1182"/>
    <w:rsid w:val="006B123E"/>
    <w:rsid w:val="006B12C4"/>
    <w:rsid w:val="006B147F"/>
    <w:rsid w:val="006B1691"/>
    <w:rsid w:val="006B19E4"/>
    <w:rsid w:val="006B1D89"/>
    <w:rsid w:val="006B1DF3"/>
    <w:rsid w:val="006B1DF7"/>
    <w:rsid w:val="006B21F0"/>
    <w:rsid w:val="006B230A"/>
    <w:rsid w:val="006B231E"/>
    <w:rsid w:val="006B2370"/>
    <w:rsid w:val="006B2558"/>
    <w:rsid w:val="006B2A75"/>
    <w:rsid w:val="006B2A9B"/>
    <w:rsid w:val="006B2B28"/>
    <w:rsid w:val="006B2D40"/>
    <w:rsid w:val="006B2D7D"/>
    <w:rsid w:val="006B3AB1"/>
    <w:rsid w:val="006B3C52"/>
    <w:rsid w:val="006B432A"/>
    <w:rsid w:val="006B4ED8"/>
    <w:rsid w:val="006B50CD"/>
    <w:rsid w:val="006B5227"/>
    <w:rsid w:val="006B55AA"/>
    <w:rsid w:val="006B5827"/>
    <w:rsid w:val="006B5875"/>
    <w:rsid w:val="006B5895"/>
    <w:rsid w:val="006B5C31"/>
    <w:rsid w:val="006B5D08"/>
    <w:rsid w:val="006B6285"/>
    <w:rsid w:val="006B64D5"/>
    <w:rsid w:val="006B65EC"/>
    <w:rsid w:val="006B66AF"/>
    <w:rsid w:val="006B672F"/>
    <w:rsid w:val="006B6822"/>
    <w:rsid w:val="006B687B"/>
    <w:rsid w:val="006B6E27"/>
    <w:rsid w:val="006B7494"/>
    <w:rsid w:val="006B7535"/>
    <w:rsid w:val="006B768C"/>
    <w:rsid w:val="006B76E3"/>
    <w:rsid w:val="006B7CF3"/>
    <w:rsid w:val="006C0609"/>
    <w:rsid w:val="006C0691"/>
    <w:rsid w:val="006C0BD2"/>
    <w:rsid w:val="006C0DB9"/>
    <w:rsid w:val="006C136A"/>
    <w:rsid w:val="006C140E"/>
    <w:rsid w:val="006C1527"/>
    <w:rsid w:val="006C1644"/>
    <w:rsid w:val="006C1722"/>
    <w:rsid w:val="006C17CF"/>
    <w:rsid w:val="006C1918"/>
    <w:rsid w:val="006C194C"/>
    <w:rsid w:val="006C1B3C"/>
    <w:rsid w:val="006C1B43"/>
    <w:rsid w:val="006C216A"/>
    <w:rsid w:val="006C2345"/>
    <w:rsid w:val="006C247D"/>
    <w:rsid w:val="006C28C2"/>
    <w:rsid w:val="006C28F3"/>
    <w:rsid w:val="006C2946"/>
    <w:rsid w:val="006C299B"/>
    <w:rsid w:val="006C2BD0"/>
    <w:rsid w:val="006C2DED"/>
    <w:rsid w:val="006C2E94"/>
    <w:rsid w:val="006C3376"/>
    <w:rsid w:val="006C359F"/>
    <w:rsid w:val="006C37BA"/>
    <w:rsid w:val="006C3C02"/>
    <w:rsid w:val="006C3D70"/>
    <w:rsid w:val="006C3D8A"/>
    <w:rsid w:val="006C3F99"/>
    <w:rsid w:val="006C4033"/>
    <w:rsid w:val="006C4140"/>
    <w:rsid w:val="006C41AD"/>
    <w:rsid w:val="006C4382"/>
    <w:rsid w:val="006C43C6"/>
    <w:rsid w:val="006C44BE"/>
    <w:rsid w:val="006C456D"/>
    <w:rsid w:val="006C46EF"/>
    <w:rsid w:val="006C4E09"/>
    <w:rsid w:val="006C53CF"/>
    <w:rsid w:val="006C5439"/>
    <w:rsid w:val="006C5535"/>
    <w:rsid w:val="006C5766"/>
    <w:rsid w:val="006C59A0"/>
    <w:rsid w:val="006C5A37"/>
    <w:rsid w:val="006C5B73"/>
    <w:rsid w:val="006C5B82"/>
    <w:rsid w:val="006C5C14"/>
    <w:rsid w:val="006C5F6D"/>
    <w:rsid w:val="006C6164"/>
    <w:rsid w:val="006C6B0C"/>
    <w:rsid w:val="006C6D89"/>
    <w:rsid w:val="006C6F1B"/>
    <w:rsid w:val="006C6FE1"/>
    <w:rsid w:val="006C6FE6"/>
    <w:rsid w:val="006C70C5"/>
    <w:rsid w:val="006C7116"/>
    <w:rsid w:val="006C7163"/>
    <w:rsid w:val="006C75BC"/>
    <w:rsid w:val="006C75CC"/>
    <w:rsid w:val="006C7621"/>
    <w:rsid w:val="006C797E"/>
    <w:rsid w:val="006C7A0C"/>
    <w:rsid w:val="006C7AD3"/>
    <w:rsid w:val="006C7B44"/>
    <w:rsid w:val="006C7CD4"/>
    <w:rsid w:val="006D064B"/>
    <w:rsid w:val="006D0A85"/>
    <w:rsid w:val="006D0BF7"/>
    <w:rsid w:val="006D10B9"/>
    <w:rsid w:val="006D1365"/>
    <w:rsid w:val="006D1C4A"/>
    <w:rsid w:val="006D1E6A"/>
    <w:rsid w:val="006D1E77"/>
    <w:rsid w:val="006D2207"/>
    <w:rsid w:val="006D2988"/>
    <w:rsid w:val="006D299A"/>
    <w:rsid w:val="006D2E60"/>
    <w:rsid w:val="006D34C4"/>
    <w:rsid w:val="006D356D"/>
    <w:rsid w:val="006D3599"/>
    <w:rsid w:val="006D35A3"/>
    <w:rsid w:val="006D36DD"/>
    <w:rsid w:val="006D3773"/>
    <w:rsid w:val="006D3A1C"/>
    <w:rsid w:val="006D442F"/>
    <w:rsid w:val="006D44FA"/>
    <w:rsid w:val="006D461E"/>
    <w:rsid w:val="006D4779"/>
    <w:rsid w:val="006D4888"/>
    <w:rsid w:val="006D48DA"/>
    <w:rsid w:val="006D4A0F"/>
    <w:rsid w:val="006D5207"/>
    <w:rsid w:val="006D52FC"/>
    <w:rsid w:val="006D5769"/>
    <w:rsid w:val="006D57A6"/>
    <w:rsid w:val="006D5B73"/>
    <w:rsid w:val="006D5BBB"/>
    <w:rsid w:val="006D5E6A"/>
    <w:rsid w:val="006D62F9"/>
    <w:rsid w:val="006D64A0"/>
    <w:rsid w:val="006D695A"/>
    <w:rsid w:val="006D6B7C"/>
    <w:rsid w:val="006D6CA2"/>
    <w:rsid w:val="006D6CCD"/>
    <w:rsid w:val="006D7263"/>
    <w:rsid w:val="006D78AC"/>
    <w:rsid w:val="006D7C2C"/>
    <w:rsid w:val="006D7D3C"/>
    <w:rsid w:val="006D7F0D"/>
    <w:rsid w:val="006E044D"/>
    <w:rsid w:val="006E0660"/>
    <w:rsid w:val="006E08C6"/>
    <w:rsid w:val="006E0956"/>
    <w:rsid w:val="006E09AD"/>
    <w:rsid w:val="006E0BA9"/>
    <w:rsid w:val="006E0D83"/>
    <w:rsid w:val="006E149A"/>
    <w:rsid w:val="006E14D9"/>
    <w:rsid w:val="006E1B41"/>
    <w:rsid w:val="006E1D9C"/>
    <w:rsid w:val="006E1FD0"/>
    <w:rsid w:val="006E1FE9"/>
    <w:rsid w:val="006E203F"/>
    <w:rsid w:val="006E2125"/>
    <w:rsid w:val="006E213E"/>
    <w:rsid w:val="006E22FC"/>
    <w:rsid w:val="006E2747"/>
    <w:rsid w:val="006E2AC0"/>
    <w:rsid w:val="006E2CA1"/>
    <w:rsid w:val="006E2EC6"/>
    <w:rsid w:val="006E2F84"/>
    <w:rsid w:val="006E3050"/>
    <w:rsid w:val="006E3132"/>
    <w:rsid w:val="006E317D"/>
    <w:rsid w:val="006E31EA"/>
    <w:rsid w:val="006E3367"/>
    <w:rsid w:val="006E36F2"/>
    <w:rsid w:val="006E3742"/>
    <w:rsid w:val="006E3BCF"/>
    <w:rsid w:val="006E3C0F"/>
    <w:rsid w:val="006E4141"/>
    <w:rsid w:val="006E450D"/>
    <w:rsid w:val="006E4672"/>
    <w:rsid w:val="006E4765"/>
    <w:rsid w:val="006E4B52"/>
    <w:rsid w:val="006E4BA3"/>
    <w:rsid w:val="006E4D2B"/>
    <w:rsid w:val="006E4FC8"/>
    <w:rsid w:val="006E4FCF"/>
    <w:rsid w:val="006E5050"/>
    <w:rsid w:val="006E50B3"/>
    <w:rsid w:val="006E53C5"/>
    <w:rsid w:val="006E53E6"/>
    <w:rsid w:val="006E55B4"/>
    <w:rsid w:val="006E570E"/>
    <w:rsid w:val="006E58F4"/>
    <w:rsid w:val="006E5B22"/>
    <w:rsid w:val="006E5DAE"/>
    <w:rsid w:val="006E612E"/>
    <w:rsid w:val="006E664A"/>
    <w:rsid w:val="006E68D1"/>
    <w:rsid w:val="006E6925"/>
    <w:rsid w:val="006E6AF7"/>
    <w:rsid w:val="006E6C9F"/>
    <w:rsid w:val="006E6E2B"/>
    <w:rsid w:val="006E6E41"/>
    <w:rsid w:val="006E704D"/>
    <w:rsid w:val="006E70D7"/>
    <w:rsid w:val="006E774A"/>
    <w:rsid w:val="006E7A21"/>
    <w:rsid w:val="006E7A9A"/>
    <w:rsid w:val="006E7B47"/>
    <w:rsid w:val="006E7CFA"/>
    <w:rsid w:val="006E7D59"/>
    <w:rsid w:val="006E7E48"/>
    <w:rsid w:val="006E7F9D"/>
    <w:rsid w:val="006E7FC2"/>
    <w:rsid w:val="006F0032"/>
    <w:rsid w:val="006F0140"/>
    <w:rsid w:val="006F0280"/>
    <w:rsid w:val="006F0C61"/>
    <w:rsid w:val="006F0D03"/>
    <w:rsid w:val="006F0D9C"/>
    <w:rsid w:val="006F0F4B"/>
    <w:rsid w:val="006F10A3"/>
    <w:rsid w:val="006F1E5F"/>
    <w:rsid w:val="006F1F03"/>
    <w:rsid w:val="006F2511"/>
    <w:rsid w:val="006F2741"/>
    <w:rsid w:val="006F2E53"/>
    <w:rsid w:val="006F2ECC"/>
    <w:rsid w:val="006F3478"/>
    <w:rsid w:val="006F3A0E"/>
    <w:rsid w:val="006F3AAA"/>
    <w:rsid w:val="006F3B1B"/>
    <w:rsid w:val="006F4108"/>
    <w:rsid w:val="006F4360"/>
    <w:rsid w:val="006F4446"/>
    <w:rsid w:val="006F44DA"/>
    <w:rsid w:val="006F4545"/>
    <w:rsid w:val="006F4A06"/>
    <w:rsid w:val="006F4A4B"/>
    <w:rsid w:val="006F4A7A"/>
    <w:rsid w:val="006F4BD0"/>
    <w:rsid w:val="006F4D74"/>
    <w:rsid w:val="006F4DD4"/>
    <w:rsid w:val="006F4E48"/>
    <w:rsid w:val="006F5272"/>
    <w:rsid w:val="006F53F3"/>
    <w:rsid w:val="006F545A"/>
    <w:rsid w:val="006F5545"/>
    <w:rsid w:val="006F56F2"/>
    <w:rsid w:val="006F592E"/>
    <w:rsid w:val="006F5A40"/>
    <w:rsid w:val="006F5BDE"/>
    <w:rsid w:val="006F6063"/>
    <w:rsid w:val="006F6300"/>
    <w:rsid w:val="006F63DA"/>
    <w:rsid w:val="006F6551"/>
    <w:rsid w:val="006F6813"/>
    <w:rsid w:val="006F68A9"/>
    <w:rsid w:val="006F6CA5"/>
    <w:rsid w:val="006F6D50"/>
    <w:rsid w:val="006F6E72"/>
    <w:rsid w:val="006F6EAE"/>
    <w:rsid w:val="006F715F"/>
    <w:rsid w:val="006F717F"/>
    <w:rsid w:val="006F7981"/>
    <w:rsid w:val="006F7B84"/>
    <w:rsid w:val="006F7C62"/>
    <w:rsid w:val="007001AD"/>
    <w:rsid w:val="007005E7"/>
    <w:rsid w:val="00700BEB"/>
    <w:rsid w:val="00700E3A"/>
    <w:rsid w:val="00700F02"/>
    <w:rsid w:val="007011CD"/>
    <w:rsid w:val="00701204"/>
    <w:rsid w:val="00701291"/>
    <w:rsid w:val="00701425"/>
    <w:rsid w:val="00701635"/>
    <w:rsid w:val="00701887"/>
    <w:rsid w:val="00701D3C"/>
    <w:rsid w:val="00701DE1"/>
    <w:rsid w:val="00701E40"/>
    <w:rsid w:val="00701F70"/>
    <w:rsid w:val="0070207D"/>
    <w:rsid w:val="007021F0"/>
    <w:rsid w:val="00702290"/>
    <w:rsid w:val="00702459"/>
    <w:rsid w:val="007024DC"/>
    <w:rsid w:val="00702B09"/>
    <w:rsid w:val="00702D9C"/>
    <w:rsid w:val="00702F02"/>
    <w:rsid w:val="0070319D"/>
    <w:rsid w:val="00703479"/>
    <w:rsid w:val="00703A47"/>
    <w:rsid w:val="00703B15"/>
    <w:rsid w:val="00703BB0"/>
    <w:rsid w:val="00703DB9"/>
    <w:rsid w:val="00703E9B"/>
    <w:rsid w:val="00704124"/>
    <w:rsid w:val="00704206"/>
    <w:rsid w:val="00704242"/>
    <w:rsid w:val="007042D5"/>
    <w:rsid w:val="00704378"/>
    <w:rsid w:val="007043FA"/>
    <w:rsid w:val="00704697"/>
    <w:rsid w:val="007046B2"/>
    <w:rsid w:val="007048B0"/>
    <w:rsid w:val="00704CF1"/>
    <w:rsid w:val="00704D8D"/>
    <w:rsid w:val="00704E6B"/>
    <w:rsid w:val="00704E70"/>
    <w:rsid w:val="007050FA"/>
    <w:rsid w:val="00705161"/>
    <w:rsid w:val="0070523A"/>
    <w:rsid w:val="00705533"/>
    <w:rsid w:val="007058F0"/>
    <w:rsid w:val="00705AB7"/>
    <w:rsid w:val="00705C7B"/>
    <w:rsid w:val="00705E1C"/>
    <w:rsid w:val="0070637C"/>
    <w:rsid w:val="007065EC"/>
    <w:rsid w:val="00706913"/>
    <w:rsid w:val="007069C5"/>
    <w:rsid w:val="00706A3F"/>
    <w:rsid w:val="00706D15"/>
    <w:rsid w:val="00706E4C"/>
    <w:rsid w:val="00707C95"/>
    <w:rsid w:val="00707CAC"/>
    <w:rsid w:val="00707F4D"/>
    <w:rsid w:val="007100B6"/>
    <w:rsid w:val="00710506"/>
    <w:rsid w:val="00710634"/>
    <w:rsid w:val="00710C60"/>
    <w:rsid w:val="00710C6A"/>
    <w:rsid w:val="00710E29"/>
    <w:rsid w:val="00710EFF"/>
    <w:rsid w:val="007116C3"/>
    <w:rsid w:val="00711745"/>
    <w:rsid w:val="0071186A"/>
    <w:rsid w:val="00711B1D"/>
    <w:rsid w:val="00711EBB"/>
    <w:rsid w:val="00712210"/>
    <w:rsid w:val="00712250"/>
    <w:rsid w:val="00712BFA"/>
    <w:rsid w:val="0071354F"/>
    <w:rsid w:val="0071366C"/>
    <w:rsid w:val="00713D06"/>
    <w:rsid w:val="00713F6F"/>
    <w:rsid w:val="00713FAC"/>
    <w:rsid w:val="007141A0"/>
    <w:rsid w:val="0071451F"/>
    <w:rsid w:val="0071458C"/>
    <w:rsid w:val="007145D6"/>
    <w:rsid w:val="007146E5"/>
    <w:rsid w:val="00714827"/>
    <w:rsid w:val="00714918"/>
    <w:rsid w:val="00714CB5"/>
    <w:rsid w:val="00714D44"/>
    <w:rsid w:val="00714EAD"/>
    <w:rsid w:val="00714EB0"/>
    <w:rsid w:val="00715348"/>
    <w:rsid w:val="0071561F"/>
    <w:rsid w:val="0071592D"/>
    <w:rsid w:val="00715A03"/>
    <w:rsid w:val="00715BE5"/>
    <w:rsid w:val="00715E1A"/>
    <w:rsid w:val="00716313"/>
    <w:rsid w:val="00716459"/>
    <w:rsid w:val="00716561"/>
    <w:rsid w:val="00716631"/>
    <w:rsid w:val="00716745"/>
    <w:rsid w:val="00716BDB"/>
    <w:rsid w:val="00716D55"/>
    <w:rsid w:val="007178CA"/>
    <w:rsid w:val="00717987"/>
    <w:rsid w:val="00717C1C"/>
    <w:rsid w:val="00717F7D"/>
    <w:rsid w:val="00717F9C"/>
    <w:rsid w:val="00720247"/>
    <w:rsid w:val="007204A2"/>
    <w:rsid w:val="0072052A"/>
    <w:rsid w:val="00720642"/>
    <w:rsid w:val="007206A9"/>
    <w:rsid w:val="007208FA"/>
    <w:rsid w:val="00720A7C"/>
    <w:rsid w:val="00720F7A"/>
    <w:rsid w:val="0072111E"/>
    <w:rsid w:val="00721296"/>
    <w:rsid w:val="0072133B"/>
    <w:rsid w:val="00721642"/>
    <w:rsid w:val="007216C4"/>
    <w:rsid w:val="007216D0"/>
    <w:rsid w:val="00721906"/>
    <w:rsid w:val="00721D96"/>
    <w:rsid w:val="00721E44"/>
    <w:rsid w:val="00721F20"/>
    <w:rsid w:val="00722188"/>
    <w:rsid w:val="00722286"/>
    <w:rsid w:val="0072236A"/>
    <w:rsid w:val="007224A0"/>
    <w:rsid w:val="007225E6"/>
    <w:rsid w:val="007225E8"/>
    <w:rsid w:val="007226D8"/>
    <w:rsid w:val="00722A14"/>
    <w:rsid w:val="00722AD6"/>
    <w:rsid w:val="00722C0B"/>
    <w:rsid w:val="00722EEC"/>
    <w:rsid w:val="007233FC"/>
    <w:rsid w:val="00723445"/>
    <w:rsid w:val="00723473"/>
    <w:rsid w:val="007234BD"/>
    <w:rsid w:val="00723533"/>
    <w:rsid w:val="007236E9"/>
    <w:rsid w:val="007237EF"/>
    <w:rsid w:val="00723A8A"/>
    <w:rsid w:val="00723B41"/>
    <w:rsid w:val="00723CBA"/>
    <w:rsid w:val="00723E38"/>
    <w:rsid w:val="00723FF5"/>
    <w:rsid w:val="007244AE"/>
    <w:rsid w:val="00724531"/>
    <w:rsid w:val="007245A6"/>
    <w:rsid w:val="007248A7"/>
    <w:rsid w:val="007248FF"/>
    <w:rsid w:val="00724B47"/>
    <w:rsid w:val="00724B8E"/>
    <w:rsid w:val="00724CA6"/>
    <w:rsid w:val="00724D14"/>
    <w:rsid w:val="00724DC7"/>
    <w:rsid w:val="00724EBA"/>
    <w:rsid w:val="00724F33"/>
    <w:rsid w:val="00724F7A"/>
    <w:rsid w:val="00724F7C"/>
    <w:rsid w:val="007251D5"/>
    <w:rsid w:val="007252DE"/>
    <w:rsid w:val="00725446"/>
    <w:rsid w:val="00725551"/>
    <w:rsid w:val="007255AB"/>
    <w:rsid w:val="007258E1"/>
    <w:rsid w:val="00725998"/>
    <w:rsid w:val="00725C0D"/>
    <w:rsid w:val="00725EEB"/>
    <w:rsid w:val="00726161"/>
    <w:rsid w:val="00726556"/>
    <w:rsid w:val="0072671F"/>
    <w:rsid w:val="00726A10"/>
    <w:rsid w:val="00726B23"/>
    <w:rsid w:val="00726C9D"/>
    <w:rsid w:val="00726D7A"/>
    <w:rsid w:val="00726E12"/>
    <w:rsid w:val="00726F38"/>
    <w:rsid w:val="0072737F"/>
    <w:rsid w:val="00727615"/>
    <w:rsid w:val="007276F3"/>
    <w:rsid w:val="0072783D"/>
    <w:rsid w:val="0072785D"/>
    <w:rsid w:val="00727A91"/>
    <w:rsid w:val="00727FE9"/>
    <w:rsid w:val="00730820"/>
    <w:rsid w:val="007308C1"/>
    <w:rsid w:val="00730CE8"/>
    <w:rsid w:val="00730D82"/>
    <w:rsid w:val="0073107B"/>
    <w:rsid w:val="007310CD"/>
    <w:rsid w:val="007315BF"/>
    <w:rsid w:val="00731629"/>
    <w:rsid w:val="00731711"/>
    <w:rsid w:val="00731749"/>
    <w:rsid w:val="0073181D"/>
    <w:rsid w:val="00731969"/>
    <w:rsid w:val="007319EC"/>
    <w:rsid w:val="00732043"/>
    <w:rsid w:val="00732179"/>
    <w:rsid w:val="007326E1"/>
    <w:rsid w:val="00733131"/>
    <w:rsid w:val="007333D0"/>
    <w:rsid w:val="007338A0"/>
    <w:rsid w:val="00733944"/>
    <w:rsid w:val="00733B36"/>
    <w:rsid w:val="00733D76"/>
    <w:rsid w:val="00733E3F"/>
    <w:rsid w:val="0073414C"/>
    <w:rsid w:val="0073423C"/>
    <w:rsid w:val="0073425E"/>
    <w:rsid w:val="0073445C"/>
    <w:rsid w:val="007348EF"/>
    <w:rsid w:val="00734B34"/>
    <w:rsid w:val="00734CF2"/>
    <w:rsid w:val="007351D4"/>
    <w:rsid w:val="00735490"/>
    <w:rsid w:val="00735648"/>
    <w:rsid w:val="0073587E"/>
    <w:rsid w:val="007359D2"/>
    <w:rsid w:val="00735D23"/>
    <w:rsid w:val="00736317"/>
    <w:rsid w:val="00736D42"/>
    <w:rsid w:val="00736F16"/>
    <w:rsid w:val="00736F1F"/>
    <w:rsid w:val="00736FA6"/>
    <w:rsid w:val="00737792"/>
    <w:rsid w:val="00737A45"/>
    <w:rsid w:val="00737AAC"/>
    <w:rsid w:val="00737B2C"/>
    <w:rsid w:val="00737D27"/>
    <w:rsid w:val="00737F6A"/>
    <w:rsid w:val="00737FE6"/>
    <w:rsid w:val="007403D8"/>
    <w:rsid w:val="007405D9"/>
    <w:rsid w:val="00740666"/>
    <w:rsid w:val="007406A4"/>
    <w:rsid w:val="0074075C"/>
    <w:rsid w:val="007408CB"/>
    <w:rsid w:val="00740919"/>
    <w:rsid w:val="00740B19"/>
    <w:rsid w:val="00740E42"/>
    <w:rsid w:val="00740FE8"/>
    <w:rsid w:val="00741078"/>
    <w:rsid w:val="007411F8"/>
    <w:rsid w:val="0074164F"/>
    <w:rsid w:val="00741822"/>
    <w:rsid w:val="007419FD"/>
    <w:rsid w:val="00741AA7"/>
    <w:rsid w:val="00741DBC"/>
    <w:rsid w:val="00741E58"/>
    <w:rsid w:val="007422B4"/>
    <w:rsid w:val="007428D6"/>
    <w:rsid w:val="00742904"/>
    <w:rsid w:val="00742971"/>
    <w:rsid w:val="00743574"/>
    <w:rsid w:val="0074373E"/>
    <w:rsid w:val="00743A5C"/>
    <w:rsid w:val="00743A6D"/>
    <w:rsid w:val="00743AAD"/>
    <w:rsid w:val="00743B05"/>
    <w:rsid w:val="00743C13"/>
    <w:rsid w:val="00743F71"/>
    <w:rsid w:val="007442FE"/>
    <w:rsid w:val="00744474"/>
    <w:rsid w:val="00744553"/>
    <w:rsid w:val="00744630"/>
    <w:rsid w:val="00744C35"/>
    <w:rsid w:val="00744E63"/>
    <w:rsid w:val="0074500E"/>
    <w:rsid w:val="0074505E"/>
    <w:rsid w:val="00745111"/>
    <w:rsid w:val="0074523A"/>
    <w:rsid w:val="00745445"/>
    <w:rsid w:val="00745579"/>
    <w:rsid w:val="007459E5"/>
    <w:rsid w:val="00745AEB"/>
    <w:rsid w:val="00745BF9"/>
    <w:rsid w:val="00745EA0"/>
    <w:rsid w:val="00745F02"/>
    <w:rsid w:val="007460F8"/>
    <w:rsid w:val="00746290"/>
    <w:rsid w:val="00746F32"/>
    <w:rsid w:val="0074796E"/>
    <w:rsid w:val="0074799A"/>
    <w:rsid w:val="00747B7F"/>
    <w:rsid w:val="00747CA5"/>
    <w:rsid w:val="00747CDD"/>
    <w:rsid w:val="00750096"/>
    <w:rsid w:val="00750689"/>
    <w:rsid w:val="00750717"/>
    <w:rsid w:val="007508E0"/>
    <w:rsid w:val="00750924"/>
    <w:rsid w:val="00750DB6"/>
    <w:rsid w:val="007512CD"/>
    <w:rsid w:val="00751530"/>
    <w:rsid w:val="0075168E"/>
    <w:rsid w:val="007518BD"/>
    <w:rsid w:val="007518E5"/>
    <w:rsid w:val="00751B35"/>
    <w:rsid w:val="00752285"/>
    <w:rsid w:val="007523D2"/>
    <w:rsid w:val="00752680"/>
    <w:rsid w:val="00752CCB"/>
    <w:rsid w:val="00752CE3"/>
    <w:rsid w:val="00752CEE"/>
    <w:rsid w:val="00752E6E"/>
    <w:rsid w:val="00752EA4"/>
    <w:rsid w:val="007530A8"/>
    <w:rsid w:val="007531DD"/>
    <w:rsid w:val="007538C2"/>
    <w:rsid w:val="00753BA2"/>
    <w:rsid w:val="00753F4A"/>
    <w:rsid w:val="0075411F"/>
    <w:rsid w:val="0075412E"/>
    <w:rsid w:val="0075418D"/>
    <w:rsid w:val="00754F61"/>
    <w:rsid w:val="00755262"/>
    <w:rsid w:val="007553C7"/>
    <w:rsid w:val="007557CA"/>
    <w:rsid w:val="0075606D"/>
    <w:rsid w:val="0075607A"/>
    <w:rsid w:val="007564E3"/>
    <w:rsid w:val="00756778"/>
    <w:rsid w:val="007569BE"/>
    <w:rsid w:val="00756DFF"/>
    <w:rsid w:val="00756E2D"/>
    <w:rsid w:val="007572C8"/>
    <w:rsid w:val="0075734F"/>
    <w:rsid w:val="00757788"/>
    <w:rsid w:val="00757BB0"/>
    <w:rsid w:val="00757C9B"/>
    <w:rsid w:val="00757D1D"/>
    <w:rsid w:val="00757DF0"/>
    <w:rsid w:val="0076005E"/>
    <w:rsid w:val="0076006B"/>
    <w:rsid w:val="00760455"/>
    <w:rsid w:val="00760594"/>
    <w:rsid w:val="0076064A"/>
    <w:rsid w:val="00760D3D"/>
    <w:rsid w:val="00760E7C"/>
    <w:rsid w:val="00761103"/>
    <w:rsid w:val="007612B6"/>
    <w:rsid w:val="007612DD"/>
    <w:rsid w:val="00761674"/>
    <w:rsid w:val="00761CC0"/>
    <w:rsid w:val="00761FC7"/>
    <w:rsid w:val="00762057"/>
    <w:rsid w:val="007620EE"/>
    <w:rsid w:val="0076258A"/>
    <w:rsid w:val="00762675"/>
    <w:rsid w:val="0076272A"/>
    <w:rsid w:val="0076273E"/>
    <w:rsid w:val="007627EB"/>
    <w:rsid w:val="007629FC"/>
    <w:rsid w:val="00762E01"/>
    <w:rsid w:val="0076306B"/>
    <w:rsid w:val="00763086"/>
    <w:rsid w:val="00763162"/>
    <w:rsid w:val="007631E4"/>
    <w:rsid w:val="00763586"/>
    <w:rsid w:val="00763AF2"/>
    <w:rsid w:val="00763E79"/>
    <w:rsid w:val="00763EC1"/>
    <w:rsid w:val="0076424A"/>
    <w:rsid w:val="0076457C"/>
    <w:rsid w:val="007645DB"/>
    <w:rsid w:val="0076460D"/>
    <w:rsid w:val="00764A8E"/>
    <w:rsid w:val="00764EB8"/>
    <w:rsid w:val="0076591B"/>
    <w:rsid w:val="00765BDE"/>
    <w:rsid w:val="00765C16"/>
    <w:rsid w:val="00765C71"/>
    <w:rsid w:val="00766016"/>
    <w:rsid w:val="007662EE"/>
    <w:rsid w:val="00766B5F"/>
    <w:rsid w:val="0076706E"/>
    <w:rsid w:val="007672D2"/>
    <w:rsid w:val="0076775B"/>
    <w:rsid w:val="007678E2"/>
    <w:rsid w:val="00767983"/>
    <w:rsid w:val="00767ACA"/>
    <w:rsid w:val="00767B65"/>
    <w:rsid w:val="00767E25"/>
    <w:rsid w:val="00770139"/>
    <w:rsid w:val="00770140"/>
    <w:rsid w:val="00770164"/>
    <w:rsid w:val="0077029F"/>
    <w:rsid w:val="00770328"/>
    <w:rsid w:val="00770881"/>
    <w:rsid w:val="00771547"/>
    <w:rsid w:val="007719D7"/>
    <w:rsid w:val="00771D36"/>
    <w:rsid w:val="007726A2"/>
    <w:rsid w:val="00772ED1"/>
    <w:rsid w:val="00772F62"/>
    <w:rsid w:val="007736B7"/>
    <w:rsid w:val="007737AD"/>
    <w:rsid w:val="00773BDC"/>
    <w:rsid w:val="00773DC5"/>
    <w:rsid w:val="00773DE4"/>
    <w:rsid w:val="00773E49"/>
    <w:rsid w:val="007740D5"/>
    <w:rsid w:val="00774122"/>
    <w:rsid w:val="0077422F"/>
    <w:rsid w:val="007748EE"/>
    <w:rsid w:val="00774965"/>
    <w:rsid w:val="00774AF4"/>
    <w:rsid w:val="00774B63"/>
    <w:rsid w:val="00774E76"/>
    <w:rsid w:val="0077509C"/>
    <w:rsid w:val="0077545C"/>
    <w:rsid w:val="007757FF"/>
    <w:rsid w:val="007758BD"/>
    <w:rsid w:val="00775B87"/>
    <w:rsid w:val="00775F44"/>
    <w:rsid w:val="0077646C"/>
    <w:rsid w:val="00776C3E"/>
    <w:rsid w:val="00776CFE"/>
    <w:rsid w:val="0077721E"/>
    <w:rsid w:val="007778C7"/>
    <w:rsid w:val="00777D54"/>
    <w:rsid w:val="00777E85"/>
    <w:rsid w:val="007802CD"/>
    <w:rsid w:val="007804F2"/>
    <w:rsid w:val="00780632"/>
    <w:rsid w:val="007808EC"/>
    <w:rsid w:val="00780962"/>
    <w:rsid w:val="00780CAD"/>
    <w:rsid w:val="00780EF3"/>
    <w:rsid w:val="007810C1"/>
    <w:rsid w:val="00781111"/>
    <w:rsid w:val="00781326"/>
    <w:rsid w:val="0078148D"/>
    <w:rsid w:val="00781650"/>
    <w:rsid w:val="007818B5"/>
    <w:rsid w:val="00781F0A"/>
    <w:rsid w:val="00781FF3"/>
    <w:rsid w:val="007820B0"/>
    <w:rsid w:val="0078235E"/>
    <w:rsid w:val="00782362"/>
    <w:rsid w:val="007823AC"/>
    <w:rsid w:val="00782681"/>
    <w:rsid w:val="007829D7"/>
    <w:rsid w:val="00782CA9"/>
    <w:rsid w:val="00782E92"/>
    <w:rsid w:val="00782F03"/>
    <w:rsid w:val="00783009"/>
    <w:rsid w:val="0078306D"/>
    <w:rsid w:val="00783196"/>
    <w:rsid w:val="0078389C"/>
    <w:rsid w:val="00783BEA"/>
    <w:rsid w:val="00784265"/>
    <w:rsid w:val="00784559"/>
    <w:rsid w:val="00784770"/>
    <w:rsid w:val="0078498A"/>
    <w:rsid w:val="00784ECE"/>
    <w:rsid w:val="00784ED4"/>
    <w:rsid w:val="00784F54"/>
    <w:rsid w:val="00785095"/>
    <w:rsid w:val="007851A8"/>
    <w:rsid w:val="007853E2"/>
    <w:rsid w:val="00785B57"/>
    <w:rsid w:val="007861D7"/>
    <w:rsid w:val="00786683"/>
    <w:rsid w:val="007867F8"/>
    <w:rsid w:val="00786A3A"/>
    <w:rsid w:val="00786CE4"/>
    <w:rsid w:val="00786D62"/>
    <w:rsid w:val="00787251"/>
    <w:rsid w:val="00787774"/>
    <w:rsid w:val="00787830"/>
    <w:rsid w:val="00787997"/>
    <w:rsid w:val="00787AF0"/>
    <w:rsid w:val="00787B20"/>
    <w:rsid w:val="007900C8"/>
    <w:rsid w:val="0079014C"/>
    <w:rsid w:val="00790851"/>
    <w:rsid w:val="007909E6"/>
    <w:rsid w:val="00790AAE"/>
    <w:rsid w:val="0079102E"/>
    <w:rsid w:val="00791217"/>
    <w:rsid w:val="0079142C"/>
    <w:rsid w:val="007916F7"/>
    <w:rsid w:val="007917B8"/>
    <w:rsid w:val="007920AE"/>
    <w:rsid w:val="007924A6"/>
    <w:rsid w:val="00792653"/>
    <w:rsid w:val="007926FC"/>
    <w:rsid w:val="00793053"/>
    <w:rsid w:val="00793074"/>
    <w:rsid w:val="007934B1"/>
    <w:rsid w:val="00793C65"/>
    <w:rsid w:val="00793CB3"/>
    <w:rsid w:val="00793DF7"/>
    <w:rsid w:val="00793E86"/>
    <w:rsid w:val="00794142"/>
    <w:rsid w:val="007941CD"/>
    <w:rsid w:val="007944A5"/>
    <w:rsid w:val="007944FB"/>
    <w:rsid w:val="0079521F"/>
    <w:rsid w:val="00795690"/>
    <w:rsid w:val="0079570D"/>
    <w:rsid w:val="00795799"/>
    <w:rsid w:val="007958D7"/>
    <w:rsid w:val="00795B8B"/>
    <w:rsid w:val="00795CE2"/>
    <w:rsid w:val="00795D46"/>
    <w:rsid w:val="00795DB5"/>
    <w:rsid w:val="007962B4"/>
    <w:rsid w:val="007963E7"/>
    <w:rsid w:val="0079646E"/>
    <w:rsid w:val="007964EB"/>
    <w:rsid w:val="00796C51"/>
    <w:rsid w:val="00796D8D"/>
    <w:rsid w:val="00796DFD"/>
    <w:rsid w:val="0079731B"/>
    <w:rsid w:val="007975E4"/>
    <w:rsid w:val="00797ABF"/>
    <w:rsid w:val="007A0102"/>
    <w:rsid w:val="007A04B7"/>
    <w:rsid w:val="007A0A2B"/>
    <w:rsid w:val="007A0D4B"/>
    <w:rsid w:val="007A1243"/>
    <w:rsid w:val="007A1AAE"/>
    <w:rsid w:val="007A1B34"/>
    <w:rsid w:val="007A1E8E"/>
    <w:rsid w:val="007A205E"/>
    <w:rsid w:val="007A2616"/>
    <w:rsid w:val="007A2625"/>
    <w:rsid w:val="007A2981"/>
    <w:rsid w:val="007A29C2"/>
    <w:rsid w:val="007A2C94"/>
    <w:rsid w:val="007A2CF8"/>
    <w:rsid w:val="007A2F6C"/>
    <w:rsid w:val="007A33F6"/>
    <w:rsid w:val="007A3BCD"/>
    <w:rsid w:val="007A3CE7"/>
    <w:rsid w:val="007A3D28"/>
    <w:rsid w:val="007A3F10"/>
    <w:rsid w:val="007A4049"/>
    <w:rsid w:val="007A428F"/>
    <w:rsid w:val="007A489B"/>
    <w:rsid w:val="007A5186"/>
    <w:rsid w:val="007A51E8"/>
    <w:rsid w:val="007A5473"/>
    <w:rsid w:val="007A5505"/>
    <w:rsid w:val="007A5A49"/>
    <w:rsid w:val="007A5ABA"/>
    <w:rsid w:val="007A5C84"/>
    <w:rsid w:val="007A5EA3"/>
    <w:rsid w:val="007A62EE"/>
    <w:rsid w:val="007A6315"/>
    <w:rsid w:val="007A6720"/>
    <w:rsid w:val="007A6977"/>
    <w:rsid w:val="007A6D75"/>
    <w:rsid w:val="007A6E50"/>
    <w:rsid w:val="007A6E6C"/>
    <w:rsid w:val="007A6F8A"/>
    <w:rsid w:val="007A70BE"/>
    <w:rsid w:val="007A77C3"/>
    <w:rsid w:val="007A7829"/>
    <w:rsid w:val="007B07F9"/>
    <w:rsid w:val="007B08DF"/>
    <w:rsid w:val="007B0B55"/>
    <w:rsid w:val="007B0B61"/>
    <w:rsid w:val="007B0B6B"/>
    <w:rsid w:val="007B11DD"/>
    <w:rsid w:val="007B16CA"/>
    <w:rsid w:val="007B204B"/>
    <w:rsid w:val="007B20EB"/>
    <w:rsid w:val="007B2414"/>
    <w:rsid w:val="007B28F4"/>
    <w:rsid w:val="007B2928"/>
    <w:rsid w:val="007B2C6F"/>
    <w:rsid w:val="007B31CF"/>
    <w:rsid w:val="007B32FB"/>
    <w:rsid w:val="007B34F7"/>
    <w:rsid w:val="007B3698"/>
    <w:rsid w:val="007B39CB"/>
    <w:rsid w:val="007B3B0B"/>
    <w:rsid w:val="007B3CE2"/>
    <w:rsid w:val="007B3E38"/>
    <w:rsid w:val="007B492D"/>
    <w:rsid w:val="007B4942"/>
    <w:rsid w:val="007B4A5E"/>
    <w:rsid w:val="007B4C95"/>
    <w:rsid w:val="007B4E3C"/>
    <w:rsid w:val="007B5075"/>
    <w:rsid w:val="007B5196"/>
    <w:rsid w:val="007B545B"/>
    <w:rsid w:val="007B57CA"/>
    <w:rsid w:val="007B59FC"/>
    <w:rsid w:val="007B5CD7"/>
    <w:rsid w:val="007B5F1F"/>
    <w:rsid w:val="007B61A0"/>
    <w:rsid w:val="007B630A"/>
    <w:rsid w:val="007B6430"/>
    <w:rsid w:val="007B65AE"/>
    <w:rsid w:val="007B66AD"/>
    <w:rsid w:val="007B6888"/>
    <w:rsid w:val="007B6C0F"/>
    <w:rsid w:val="007B702A"/>
    <w:rsid w:val="007B738A"/>
    <w:rsid w:val="007B7664"/>
    <w:rsid w:val="007B76AC"/>
    <w:rsid w:val="007B77FA"/>
    <w:rsid w:val="007B7D26"/>
    <w:rsid w:val="007B7E1C"/>
    <w:rsid w:val="007B7F30"/>
    <w:rsid w:val="007C09C6"/>
    <w:rsid w:val="007C0A55"/>
    <w:rsid w:val="007C0D93"/>
    <w:rsid w:val="007C100F"/>
    <w:rsid w:val="007C1294"/>
    <w:rsid w:val="007C1427"/>
    <w:rsid w:val="007C14E1"/>
    <w:rsid w:val="007C1523"/>
    <w:rsid w:val="007C1738"/>
    <w:rsid w:val="007C1770"/>
    <w:rsid w:val="007C1800"/>
    <w:rsid w:val="007C1A37"/>
    <w:rsid w:val="007C1BE7"/>
    <w:rsid w:val="007C1C05"/>
    <w:rsid w:val="007C1DD6"/>
    <w:rsid w:val="007C1FA8"/>
    <w:rsid w:val="007C2531"/>
    <w:rsid w:val="007C26C5"/>
    <w:rsid w:val="007C2BB9"/>
    <w:rsid w:val="007C2BC1"/>
    <w:rsid w:val="007C3158"/>
    <w:rsid w:val="007C315D"/>
    <w:rsid w:val="007C31FD"/>
    <w:rsid w:val="007C365E"/>
    <w:rsid w:val="007C38AB"/>
    <w:rsid w:val="007C3A16"/>
    <w:rsid w:val="007C464E"/>
    <w:rsid w:val="007C47A3"/>
    <w:rsid w:val="007C4972"/>
    <w:rsid w:val="007C4F61"/>
    <w:rsid w:val="007C53A6"/>
    <w:rsid w:val="007C5624"/>
    <w:rsid w:val="007C5672"/>
    <w:rsid w:val="007C59EC"/>
    <w:rsid w:val="007C5BAE"/>
    <w:rsid w:val="007C5C6B"/>
    <w:rsid w:val="007C616A"/>
    <w:rsid w:val="007C6220"/>
    <w:rsid w:val="007C622D"/>
    <w:rsid w:val="007C633A"/>
    <w:rsid w:val="007C6375"/>
    <w:rsid w:val="007C63C4"/>
    <w:rsid w:val="007C669F"/>
    <w:rsid w:val="007C6777"/>
    <w:rsid w:val="007C696F"/>
    <w:rsid w:val="007C6B6B"/>
    <w:rsid w:val="007C6D4D"/>
    <w:rsid w:val="007C6E62"/>
    <w:rsid w:val="007C724C"/>
    <w:rsid w:val="007C72EF"/>
    <w:rsid w:val="007C76B8"/>
    <w:rsid w:val="007C78F7"/>
    <w:rsid w:val="007C799A"/>
    <w:rsid w:val="007D01C7"/>
    <w:rsid w:val="007D0512"/>
    <w:rsid w:val="007D0F15"/>
    <w:rsid w:val="007D1155"/>
    <w:rsid w:val="007D14E8"/>
    <w:rsid w:val="007D15DA"/>
    <w:rsid w:val="007D1630"/>
    <w:rsid w:val="007D16C1"/>
    <w:rsid w:val="007D1817"/>
    <w:rsid w:val="007D19A3"/>
    <w:rsid w:val="007D1AE9"/>
    <w:rsid w:val="007D1E9E"/>
    <w:rsid w:val="007D1F90"/>
    <w:rsid w:val="007D1FDD"/>
    <w:rsid w:val="007D23B3"/>
    <w:rsid w:val="007D24CE"/>
    <w:rsid w:val="007D25CA"/>
    <w:rsid w:val="007D2999"/>
    <w:rsid w:val="007D2A6B"/>
    <w:rsid w:val="007D2D3D"/>
    <w:rsid w:val="007D2E84"/>
    <w:rsid w:val="007D2FE4"/>
    <w:rsid w:val="007D31FB"/>
    <w:rsid w:val="007D32E4"/>
    <w:rsid w:val="007D3457"/>
    <w:rsid w:val="007D3BB8"/>
    <w:rsid w:val="007D3E26"/>
    <w:rsid w:val="007D3ECB"/>
    <w:rsid w:val="007D3EE3"/>
    <w:rsid w:val="007D426D"/>
    <w:rsid w:val="007D4477"/>
    <w:rsid w:val="007D4F93"/>
    <w:rsid w:val="007D5815"/>
    <w:rsid w:val="007D5887"/>
    <w:rsid w:val="007D59D4"/>
    <w:rsid w:val="007D5A62"/>
    <w:rsid w:val="007D5B62"/>
    <w:rsid w:val="007D5B9A"/>
    <w:rsid w:val="007D6003"/>
    <w:rsid w:val="007D65D0"/>
    <w:rsid w:val="007D66F7"/>
    <w:rsid w:val="007D7086"/>
    <w:rsid w:val="007D70F9"/>
    <w:rsid w:val="007D7126"/>
    <w:rsid w:val="007D7388"/>
    <w:rsid w:val="007D7D11"/>
    <w:rsid w:val="007D7F71"/>
    <w:rsid w:val="007D7F9E"/>
    <w:rsid w:val="007D7FC8"/>
    <w:rsid w:val="007E0B1C"/>
    <w:rsid w:val="007E0DFA"/>
    <w:rsid w:val="007E14ED"/>
    <w:rsid w:val="007E17A3"/>
    <w:rsid w:val="007E1C31"/>
    <w:rsid w:val="007E1CF7"/>
    <w:rsid w:val="007E1DD7"/>
    <w:rsid w:val="007E20D4"/>
    <w:rsid w:val="007E23F1"/>
    <w:rsid w:val="007E2CF1"/>
    <w:rsid w:val="007E3021"/>
    <w:rsid w:val="007E3178"/>
    <w:rsid w:val="007E3A9A"/>
    <w:rsid w:val="007E406F"/>
    <w:rsid w:val="007E43A7"/>
    <w:rsid w:val="007E478B"/>
    <w:rsid w:val="007E4B78"/>
    <w:rsid w:val="007E4E8F"/>
    <w:rsid w:val="007E5274"/>
    <w:rsid w:val="007E57AF"/>
    <w:rsid w:val="007E5AC8"/>
    <w:rsid w:val="007E6255"/>
    <w:rsid w:val="007E6425"/>
    <w:rsid w:val="007E6926"/>
    <w:rsid w:val="007E6C24"/>
    <w:rsid w:val="007E6C7A"/>
    <w:rsid w:val="007E6E88"/>
    <w:rsid w:val="007E74CA"/>
    <w:rsid w:val="007E7815"/>
    <w:rsid w:val="007E79CA"/>
    <w:rsid w:val="007E7BD6"/>
    <w:rsid w:val="007F052B"/>
    <w:rsid w:val="007F0C3C"/>
    <w:rsid w:val="007F0E72"/>
    <w:rsid w:val="007F10B0"/>
    <w:rsid w:val="007F147C"/>
    <w:rsid w:val="007F1C74"/>
    <w:rsid w:val="007F1EC7"/>
    <w:rsid w:val="007F1ED7"/>
    <w:rsid w:val="007F2575"/>
    <w:rsid w:val="007F2948"/>
    <w:rsid w:val="007F2DED"/>
    <w:rsid w:val="007F2F02"/>
    <w:rsid w:val="007F3164"/>
    <w:rsid w:val="007F317E"/>
    <w:rsid w:val="007F3BE4"/>
    <w:rsid w:val="007F3DDF"/>
    <w:rsid w:val="007F412A"/>
    <w:rsid w:val="007F418D"/>
    <w:rsid w:val="007F41B9"/>
    <w:rsid w:val="007F426E"/>
    <w:rsid w:val="007F4435"/>
    <w:rsid w:val="007F456D"/>
    <w:rsid w:val="007F45E7"/>
    <w:rsid w:val="007F4764"/>
    <w:rsid w:val="007F4997"/>
    <w:rsid w:val="007F4A84"/>
    <w:rsid w:val="007F4D69"/>
    <w:rsid w:val="007F5343"/>
    <w:rsid w:val="007F53EF"/>
    <w:rsid w:val="007F54D0"/>
    <w:rsid w:val="007F58F9"/>
    <w:rsid w:val="007F5F83"/>
    <w:rsid w:val="007F618A"/>
    <w:rsid w:val="007F6480"/>
    <w:rsid w:val="007F6728"/>
    <w:rsid w:val="007F687B"/>
    <w:rsid w:val="007F6996"/>
    <w:rsid w:val="007F6F5E"/>
    <w:rsid w:val="007F7283"/>
    <w:rsid w:val="007F7991"/>
    <w:rsid w:val="007F79DA"/>
    <w:rsid w:val="007F7A95"/>
    <w:rsid w:val="007F7C3E"/>
    <w:rsid w:val="007F7CCD"/>
    <w:rsid w:val="007F7D2F"/>
    <w:rsid w:val="00800B28"/>
    <w:rsid w:val="00800B6B"/>
    <w:rsid w:val="00800DA0"/>
    <w:rsid w:val="00800F4D"/>
    <w:rsid w:val="008016D1"/>
    <w:rsid w:val="008017CF"/>
    <w:rsid w:val="00801C89"/>
    <w:rsid w:val="00802579"/>
    <w:rsid w:val="008025AC"/>
    <w:rsid w:val="00802771"/>
    <w:rsid w:val="008028E9"/>
    <w:rsid w:val="00802A71"/>
    <w:rsid w:val="00802C8E"/>
    <w:rsid w:val="00802E06"/>
    <w:rsid w:val="0080321F"/>
    <w:rsid w:val="0080324C"/>
    <w:rsid w:val="00803425"/>
    <w:rsid w:val="008034F0"/>
    <w:rsid w:val="00803AB9"/>
    <w:rsid w:val="00803C09"/>
    <w:rsid w:val="00803D66"/>
    <w:rsid w:val="008047BE"/>
    <w:rsid w:val="00804A6B"/>
    <w:rsid w:val="00804E3F"/>
    <w:rsid w:val="00804FDB"/>
    <w:rsid w:val="0080500A"/>
    <w:rsid w:val="00805585"/>
    <w:rsid w:val="00805868"/>
    <w:rsid w:val="00805C1B"/>
    <w:rsid w:val="00805DD0"/>
    <w:rsid w:val="008061F2"/>
    <w:rsid w:val="00806505"/>
    <w:rsid w:val="008065B7"/>
    <w:rsid w:val="00806960"/>
    <w:rsid w:val="00806D6A"/>
    <w:rsid w:val="00806E8E"/>
    <w:rsid w:val="008070E7"/>
    <w:rsid w:val="0080732C"/>
    <w:rsid w:val="008100DE"/>
    <w:rsid w:val="0081026D"/>
    <w:rsid w:val="00810400"/>
    <w:rsid w:val="00810782"/>
    <w:rsid w:val="008107B2"/>
    <w:rsid w:val="008109D1"/>
    <w:rsid w:val="00810B55"/>
    <w:rsid w:val="008110AF"/>
    <w:rsid w:val="0081193A"/>
    <w:rsid w:val="008119ED"/>
    <w:rsid w:val="00811BA8"/>
    <w:rsid w:val="00811F98"/>
    <w:rsid w:val="008121E6"/>
    <w:rsid w:val="00812295"/>
    <w:rsid w:val="0081239E"/>
    <w:rsid w:val="00812583"/>
    <w:rsid w:val="00812851"/>
    <w:rsid w:val="00812BB7"/>
    <w:rsid w:val="00812E5F"/>
    <w:rsid w:val="00813047"/>
    <w:rsid w:val="00813376"/>
    <w:rsid w:val="00813745"/>
    <w:rsid w:val="00813962"/>
    <w:rsid w:val="00813E5D"/>
    <w:rsid w:val="00813E76"/>
    <w:rsid w:val="00814122"/>
    <w:rsid w:val="0081498C"/>
    <w:rsid w:val="00814BCA"/>
    <w:rsid w:val="00814DF1"/>
    <w:rsid w:val="00815066"/>
    <w:rsid w:val="008150A6"/>
    <w:rsid w:val="008153D3"/>
    <w:rsid w:val="00815857"/>
    <w:rsid w:val="00815BEA"/>
    <w:rsid w:val="00815CA4"/>
    <w:rsid w:val="00815D05"/>
    <w:rsid w:val="0081600D"/>
    <w:rsid w:val="008162C6"/>
    <w:rsid w:val="008165E8"/>
    <w:rsid w:val="0081680F"/>
    <w:rsid w:val="0081716C"/>
    <w:rsid w:val="00817227"/>
    <w:rsid w:val="00817670"/>
    <w:rsid w:val="00817BF1"/>
    <w:rsid w:val="00817D34"/>
    <w:rsid w:val="00817F0A"/>
    <w:rsid w:val="00817F91"/>
    <w:rsid w:val="008200D4"/>
    <w:rsid w:val="00820289"/>
    <w:rsid w:val="00820531"/>
    <w:rsid w:val="00820565"/>
    <w:rsid w:val="0082059F"/>
    <w:rsid w:val="008205A4"/>
    <w:rsid w:val="008205CD"/>
    <w:rsid w:val="00820A0C"/>
    <w:rsid w:val="00820ABF"/>
    <w:rsid w:val="00821239"/>
    <w:rsid w:val="00821762"/>
    <w:rsid w:val="0082188F"/>
    <w:rsid w:val="0082204F"/>
    <w:rsid w:val="008223E6"/>
    <w:rsid w:val="00822D76"/>
    <w:rsid w:val="00822DA4"/>
    <w:rsid w:val="00822E82"/>
    <w:rsid w:val="00822F40"/>
    <w:rsid w:val="00823266"/>
    <w:rsid w:val="008232C6"/>
    <w:rsid w:val="008233A5"/>
    <w:rsid w:val="0082365D"/>
    <w:rsid w:val="008237AC"/>
    <w:rsid w:val="00823A10"/>
    <w:rsid w:val="00823BD3"/>
    <w:rsid w:val="00823EBA"/>
    <w:rsid w:val="008243B6"/>
    <w:rsid w:val="0082464F"/>
    <w:rsid w:val="00824868"/>
    <w:rsid w:val="0082491F"/>
    <w:rsid w:val="00824C67"/>
    <w:rsid w:val="00825076"/>
    <w:rsid w:val="00825897"/>
    <w:rsid w:val="00825B6A"/>
    <w:rsid w:val="00825C0D"/>
    <w:rsid w:val="00825C69"/>
    <w:rsid w:val="00825E4A"/>
    <w:rsid w:val="00826057"/>
    <w:rsid w:val="00826116"/>
    <w:rsid w:val="0082655B"/>
    <w:rsid w:val="00827073"/>
    <w:rsid w:val="00827075"/>
    <w:rsid w:val="008270E4"/>
    <w:rsid w:val="00827520"/>
    <w:rsid w:val="008275BF"/>
    <w:rsid w:val="008277F0"/>
    <w:rsid w:val="0082785E"/>
    <w:rsid w:val="00827DD3"/>
    <w:rsid w:val="00827F3F"/>
    <w:rsid w:val="00827F79"/>
    <w:rsid w:val="00830181"/>
    <w:rsid w:val="008303C0"/>
    <w:rsid w:val="0083054F"/>
    <w:rsid w:val="0083088F"/>
    <w:rsid w:val="008308F9"/>
    <w:rsid w:val="008309AB"/>
    <w:rsid w:val="00830CCA"/>
    <w:rsid w:val="008310DA"/>
    <w:rsid w:val="00831458"/>
    <w:rsid w:val="0083154B"/>
    <w:rsid w:val="0083157F"/>
    <w:rsid w:val="008315AB"/>
    <w:rsid w:val="00831623"/>
    <w:rsid w:val="008317DD"/>
    <w:rsid w:val="00831D9C"/>
    <w:rsid w:val="00831E7A"/>
    <w:rsid w:val="008322AB"/>
    <w:rsid w:val="008322CB"/>
    <w:rsid w:val="00832408"/>
    <w:rsid w:val="00832591"/>
    <w:rsid w:val="008325A2"/>
    <w:rsid w:val="00832757"/>
    <w:rsid w:val="00832A54"/>
    <w:rsid w:val="00832F52"/>
    <w:rsid w:val="00833023"/>
    <w:rsid w:val="00833363"/>
    <w:rsid w:val="00833512"/>
    <w:rsid w:val="0083355D"/>
    <w:rsid w:val="0083377E"/>
    <w:rsid w:val="00833BA0"/>
    <w:rsid w:val="00834585"/>
    <w:rsid w:val="008347AD"/>
    <w:rsid w:val="0083490A"/>
    <w:rsid w:val="00834999"/>
    <w:rsid w:val="00834A37"/>
    <w:rsid w:val="00834B4F"/>
    <w:rsid w:val="00834EC5"/>
    <w:rsid w:val="008354D0"/>
    <w:rsid w:val="00835888"/>
    <w:rsid w:val="00835D57"/>
    <w:rsid w:val="0083653F"/>
    <w:rsid w:val="00836A4D"/>
    <w:rsid w:val="00836A88"/>
    <w:rsid w:val="00836A8E"/>
    <w:rsid w:val="00836E85"/>
    <w:rsid w:val="00837173"/>
    <w:rsid w:val="008373D5"/>
    <w:rsid w:val="008374BA"/>
    <w:rsid w:val="00837635"/>
    <w:rsid w:val="00837864"/>
    <w:rsid w:val="008379E6"/>
    <w:rsid w:val="00837C5D"/>
    <w:rsid w:val="00837F42"/>
    <w:rsid w:val="00837F98"/>
    <w:rsid w:val="00837FAA"/>
    <w:rsid w:val="008401F9"/>
    <w:rsid w:val="008407C9"/>
    <w:rsid w:val="00840F9B"/>
    <w:rsid w:val="00841269"/>
    <w:rsid w:val="00841AC1"/>
    <w:rsid w:val="00841B8E"/>
    <w:rsid w:val="00841C13"/>
    <w:rsid w:val="00841D7A"/>
    <w:rsid w:val="00841DD3"/>
    <w:rsid w:val="00842176"/>
    <w:rsid w:val="00842221"/>
    <w:rsid w:val="00842242"/>
    <w:rsid w:val="008424EA"/>
    <w:rsid w:val="00842752"/>
    <w:rsid w:val="00842812"/>
    <w:rsid w:val="00842993"/>
    <w:rsid w:val="00842E9F"/>
    <w:rsid w:val="00842F0F"/>
    <w:rsid w:val="00843049"/>
    <w:rsid w:val="00843139"/>
    <w:rsid w:val="008431E5"/>
    <w:rsid w:val="0084326F"/>
    <w:rsid w:val="0084335A"/>
    <w:rsid w:val="00843511"/>
    <w:rsid w:val="00843744"/>
    <w:rsid w:val="00843B12"/>
    <w:rsid w:val="00844085"/>
    <w:rsid w:val="0084464B"/>
    <w:rsid w:val="008448AE"/>
    <w:rsid w:val="00844939"/>
    <w:rsid w:val="00844E41"/>
    <w:rsid w:val="00844EC9"/>
    <w:rsid w:val="008453F0"/>
    <w:rsid w:val="008455B8"/>
    <w:rsid w:val="00845AD3"/>
    <w:rsid w:val="00845CC1"/>
    <w:rsid w:val="00845EFA"/>
    <w:rsid w:val="0084613F"/>
    <w:rsid w:val="008467AA"/>
    <w:rsid w:val="008468FA"/>
    <w:rsid w:val="0084690A"/>
    <w:rsid w:val="00846A64"/>
    <w:rsid w:val="00846D7C"/>
    <w:rsid w:val="008470B9"/>
    <w:rsid w:val="0084743B"/>
    <w:rsid w:val="008478C3"/>
    <w:rsid w:val="0084799F"/>
    <w:rsid w:val="00847ED3"/>
    <w:rsid w:val="0085003B"/>
    <w:rsid w:val="00850184"/>
    <w:rsid w:val="008501FA"/>
    <w:rsid w:val="00850CFF"/>
    <w:rsid w:val="00850DD2"/>
    <w:rsid w:val="008510A8"/>
    <w:rsid w:val="00851570"/>
    <w:rsid w:val="0085160E"/>
    <w:rsid w:val="008517F0"/>
    <w:rsid w:val="008518C8"/>
    <w:rsid w:val="008519C1"/>
    <w:rsid w:val="008519C4"/>
    <w:rsid w:val="00851BBB"/>
    <w:rsid w:val="008523B5"/>
    <w:rsid w:val="00852413"/>
    <w:rsid w:val="008524B1"/>
    <w:rsid w:val="00852701"/>
    <w:rsid w:val="00852B10"/>
    <w:rsid w:val="00852BEC"/>
    <w:rsid w:val="00852D36"/>
    <w:rsid w:val="0085331D"/>
    <w:rsid w:val="008535B5"/>
    <w:rsid w:val="008536A1"/>
    <w:rsid w:val="00853826"/>
    <w:rsid w:val="00853A64"/>
    <w:rsid w:val="00853AE2"/>
    <w:rsid w:val="00853F31"/>
    <w:rsid w:val="00853FD1"/>
    <w:rsid w:val="008541D1"/>
    <w:rsid w:val="00854472"/>
    <w:rsid w:val="008547AE"/>
    <w:rsid w:val="008547BE"/>
    <w:rsid w:val="00854B19"/>
    <w:rsid w:val="00854C75"/>
    <w:rsid w:val="00855291"/>
    <w:rsid w:val="00855495"/>
    <w:rsid w:val="00855966"/>
    <w:rsid w:val="00855CD6"/>
    <w:rsid w:val="008561B9"/>
    <w:rsid w:val="008561C5"/>
    <w:rsid w:val="00856352"/>
    <w:rsid w:val="008564B8"/>
    <w:rsid w:val="0085672E"/>
    <w:rsid w:val="00856A6C"/>
    <w:rsid w:val="00856B08"/>
    <w:rsid w:val="008574B4"/>
    <w:rsid w:val="0085765D"/>
    <w:rsid w:val="00857918"/>
    <w:rsid w:val="00857CE1"/>
    <w:rsid w:val="00860032"/>
    <w:rsid w:val="008602B2"/>
    <w:rsid w:val="00860612"/>
    <w:rsid w:val="008606C9"/>
    <w:rsid w:val="0086147C"/>
    <w:rsid w:val="00861881"/>
    <w:rsid w:val="00861F5F"/>
    <w:rsid w:val="00862206"/>
    <w:rsid w:val="00862659"/>
    <w:rsid w:val="008626A8"/>
    <w:rsid w:val="00862B36"/>
    <w:rsid w:val="00862D91"/>
    <w:rsid w:val="00863028"/>
    <w:rsid w:val="008634CC"/>
    <w:rsid w:val="00863517"/>
    <w:rsid w:val="00863708"/>
    <w:rsid w:val="00863CB6"/>
    <w:rsid w:val="00863E3E"/>
    <w:rsid w:val="00863FC0"/>
    <w:rsid w:val="0086425B"/>
    <w:rsid w:val="008643A1"/>
    <w:rsid w:val="0086462C"/>
    <w:rsid w:val="00864812"/>
    <w:rsid w:val="00864854"/>
    <w:rsid w:val="00864944"/>
    <w:rsid w:val="00864991"/>
    <w:rsid w:val="00864C04"/>
    <w:rsid w:val="00864C71"/>
    <w:rsid w:val="00864D04"/>
    <w:rsid w:val="0086524C"/>
    <w:rsid w:val="00865412"/>
    <w:rsid w:val="00865557"/>
    <w:rsid w:val="00865708"/>
    <w:rsid w:val="00865BBD"/>
    <w:rsid w:val="00865C0A"/>
    <w:rsid w:val="00866025"/>
    <w:rsid w:val="008665CF"/>
    <w:rsid w:val="00866907"/>
    <w:rsid w:val="00866A73"/>
    <w:rsid w:val="00866B81"/>
    <w:rsid w:val="00866FF4"/>
    <w:rsid w:val="0086735E"/>
    <w:rsid w:val="00867876"/>
    <w:rsid w:val="008678AE"/>
    <w:rsid w:val="00867952"/>
    <w:rsid w:val="008679E9"/>
    <w:rsid w:val="00867CBA"/>
    <w:rsid w:val="00867F84"/>
    <w:rsid w:val="008701E0"/>
    <w:rsid w:val="00870A55"/>
    <w:rsid w:val="00870E0B"/>
    <w:rsid w:val="00870EB7"/>
    <w:rsid w:val="008710C3"/>
    <w:rsid w:val="00871182"/>
    <w:rsid w:val="00871413"/>
    <w:rsid w:val="00871646"/>
    <w:rsid w:val="0087168E"/>
    <w:rsid w:val="00871C56"/>
    <w:rsid w:val="0087225E"/>
    <w:rsid w:val="00872346"/>
    <w:rsid w:val="00872369"/>
    <w:rsid w:val="00872566"/>
    <w:rsid w:val="0087263A"/>
    <w:rsid w:val="0087270F"/>
    <w:rsid w:val="0087273F"/>
    <w:rsid w:val="008727CF"/>
    <w:rsid w:val="008727D4"/>
    <w:rsid w:val="008727D6"/>
    <w:rsid w:val="008727E7"/>
    <w:rsid w:val="008727F1"/>
    <w:rsid w:val="0087308C"/>
    <w:rsid w:val="00873270"/>
    <w:rsid w:val="00873354"/>
    <w:rsid w:val="0087342A"/>
    <w:rsid w:val="00873604"/>
    <w:rsid w:val="00873EB7"/>
    <w:rsid w:val="00873FEA"/>
    <w:rsid w:val="008741E1"/>
    <w:rsid w:val="0087457D"/>
    <w:rsid w:val="0087458F"/>
    <w:rsid w:val="0087480E"/>
    <w:rsid w:val="00875232"/>
    <w:rsid w:val="008753C3"/>
    <w:rsid w:val="0087548B"/>
    <w:rsid w:val="00875618"/>
    <w:rsid w:val="0087561A"/>
    <w:rsid w:val="00875A68"/>
    <w:rsid w:val="008760FA"/>
    <w:rsid w:val="0087622E"/>
    <w:rsid w:val="00876892"/>
    <w:rsid w:val="00876986"/>
    <w:rsid w:val="00876AD3"/>
    <w:rsid w:val="008779F2"/>
    <w:rsid w:val="00877A25"/>
    <w:rsid w:val="00877C23"/>
    <w:rsid w:val="00877D3A"/>
    <w:rsid w:val="00880008"/>
    <w:rsid w:val="0088040F"/>
    <w:rsid w:val="0088080E"/>
    <w:rsid w:val="00881046"/>
    <w:rsid w:val="0088108F"/>
    <w:rsid w:val="00881157"/>
    <w:rsid w:val="00881302"/>
    <w:rsid w:val="00881386"/>
    <w:rsid w:val="00881700"/>
    <w:rsid w:val="00881D63"/>
    <w:rsid w:val="00881E3A"/>
    <w:rsid w:val="008820B7"/>
    <w:rsid w:val="0088261F"/>
    <w:rsid w:val="00882909"/>
    <w:rsid w:val="00882DD6"/>
    <w:rsid w:val="00882E06"/>
    <w:rsid w:val="00883184"/>
    <w:rsid w:val="00883480"/>
    <w:rsid w:val="00883804"/>
    <w:rsid w:val="0088387B"/>
    <w:rsid w:val="00883A59"/>
    <w:rsid w:val="00883B94"/>
    <w:rsid w:val="00883BA1"/>
    <w:rsid w:val="00883BCE"/>
    <w:rsid w:val="00883BE1"/>
    <w:rsid w:val="00883BF7"/>
    <w:rsid w:val="00884264"/>
    <w:rsid w:val="0088426C"/>
    <w:rsid w:val="0088451C"/>
    <w:rsid w:val="008849CD"/>
    <w:rsid w:val="00884B5A"/>
    <w:rsid w:val="00884B97"/>
    <w:rsid w:val="00884BA1"/>
    <w:rsid w:val="008851F6"/>
    <w:rsid w:val="0088537E"/>
    <w:rsid w:val="00885448"/>
    <w:rsid w:val="00885791"/>
    <w:rsid w:val="00885997"/>
    <w:rsid w:val="00885AC1"/>
    <w:rsid w:val="00885C07"/>
    <w:rsid w:val="0088618E"/>
    <w:rsid w:val="0088638C"/>
    <w:rsid w:val="00886868"/>
    <w:rsid w:val="00886CE0"/>
    <w:rsid w:val="00886E5F"/>
    <w:rsid w:val="008870F2"/>
    <w:rsid w:val="0088747D"/>
    <w:rsid w:val="00887997"/>
    <w:rsid w:val="00887E12"/>
    <w:rsid w:val="00887F55"/>
    <w:rsid w:val="00887F69"/>
    <w:rsid w:val="00890199"/>
    <w:rsid w:val="00890541"/>
    <w:rsid w:val="00890701"/>
    <w:rsid w:val="00890CA0"/>
    <w:rsid w:val="00890E47"/>
    <w:rsid w:val="00890F90"/>
    <w:rsid w:val="00890FF6"/>
    <w:rsid w:val="008910B9"/>
    <w:rsid w:val="00891317"/>
    <w:rsid w:val="008913D0"/>
    <w:rsid w:val="00891A93"/>
    <w:rsid w:val="00891A9A"/>
    <w:rsid w:val="00891C48"/>
    <w:rsid w:val="00891D34"/>
    <w:rsid w:val="0089208D"/>
    <w:rsid w:val="008924A3"/>
    <w:rsid w:val="00892792"/>
    <w:rsid w:val="008927D5"/>
    <w:rsid w:val="0089293E"/>
    <w:rsid w:val="00892A2C"/>
    <w:rsid w:val="00892A4C"/>
    <w:rsid w:val="00892AB8"/>
    <w:rsid w:val="00892C93"/>
    <w:rsid w:val="00892E8A"/>
    <w:rsid w:val="00892E9D"/>
    <w:rsid w:val="00892FED"/>
    <w:rsid w:val="00893384"/>
    <w:rsid w:val="00893486"/>
    <w:rsid w:val="00893839"/>
    <w:rsid w:val="008938E2"/>
    <w:rsid w:val="00893AD6"/>
    <w:rsid w:val="00893E70"/>
    <w:rsid w:val="00893E95"/>
    <w:rsid w:val="00894065"/>
    <w:rsid w:val="00894280"/>
    <w:rsid w:val="00894416"/>
    <w:rsid w:val="00894446"/>
    <w:rsid w:val="008948F0"/>
    <w:rsid w:val="00894B1D"/>
    <w:rsid w:val="00894D45"/>
    <w:rsid w:val="0089537C"/>
    <w:rsid w:val="008953BF"/>
    <w:rsid w:val="0089586E"/>
    <w:rsid w:val="008958E5"/>
    <w:rsid w:val="00895A69"/>
    <w:rsid w:val="00895FBC"/>
    <w:rsid w:val="00896188"/>
    <w:rsid w:val="00896484"/>
    <w:rsid w:val="008964A5"/>
    <w:rsid w:val="00896A30"/>
    <w:rsid w:val="00897133"/>
    <w:rsid w:val="00897182"/>
    <w:rsid w:val="00897184"/>
    <w:rsid w:val="008971B5"/>
    <w:rsid w:val="00897221"/>
    <w:rsid w:val="00897237"/>
    <w:rsid w:val="008975BB"/>
    <w:rsid w:val="00897836"/>
    <w:rsid w:val="008978A4"/>
    <w:rsid w:val="008979BC"/>
    <w:rsid w:val="00897D2C"/>
    <w:rsid w:val="00897E62"/>
    <w:rsid w:val="008A02A1"/>
    <w:rsid w:val="008A0D46"/>
    <w:rsid w:val="008A0D6A"/>
    <w:rsid w:val="008A10C0"/>
    <w:rsid w:val="008A1377"/>
    <w:rsid w:val="008A15A5"/>
    <w:rsid w:val="008A1903"/>
    <w:rsid w:val="008A19BB"/>
    <w:rsid w:val="008A1B0E"/>
    <w:rsid w:val="008A1C49"/>
    <w:rsid w:val="008A2035"/>
    <w:rsid w:val="008A2084"/>
    <w:rsid w:val="008A2B00"/>
    <w:rsid w:val="008A2B78"/>
    <w:rsid w:val="008A2C5C"/>
    <w:rsid w:val="008A2D77"/>
    <w:rsid w:val="008A2F16"/>
    <w:rsid w:val="008A2F52"/>
    <w:rsid w:val="008A389C"/>
    <w:rsid w:val="008A3968"/>
    <w:rsid w:val="008A3A29"/>
    <w:rsid w:val="008A3D78"/>
    <w:rsid w:val="008A3DB5"/>
    <w:rsid w:val="008A3E24"/>
    <w:rsid w:val="008A3F7A"/>
    <w:rsid w:val="008A420F"/>
    <w:rsid w:val="008A42F8"/>
    <w:rsid w:val="008A4D83"/>
    <w:rsid w:val="008A4E36"/>
    <w:rsid w:val="008A50BC"/>
    <w:rsid w:val="008A5666"/>
    <w:rsid w:val="008A5909"/>
    <w:rsid w:val="008A5C59"/>
    <w:rsid w:val="008A5CDB"/>
    <w:rsid w:val="008A5F42"/>
    <w:rsid w:val="008A5F50"/>
    <w:rsid w:val="008A6263"/>
    <w:rsid w:val="008A6318"/>
    <w:rsid w:val="008A65B8"/>
    <w:rsid w:val="008A6953"/>
    <w:rsid w:val="008A7078"/>
    <w:rsid w:val="008A707C"/>
    <w:rsid w:val="008A7497"/>
    <w:rsid w:val="008A7630"/>
    <w:rsid w:val="008A769D"/>
    <w:rsid w:val="008A785E"/>
    <w:rsid w:val="008A794C"/>
    <w:rsid w:val="008A7DFB"/>
    <w:rsid w:val="008B078D"/>
    <w:rsid w:val="008B1747"/>
    <w:rsid w:val="008B1A23"/>
    <w:rsid w:val="008B1AA0"/>
    <w:rsid w:val="008B1C90"/>
    <w:rsid w:val="008B1D98"/>
    <w:rsid w:val="008B21C1"/>
    <w:rsid w:val="008B2620"/>
    <w:rsid w:val="008B2AE9"/>
    <w:rsid w:val="008B2F45"/>
    <w:rsid w:val="008B32E8"/>
    <w:rsid w:val="008B3476"/>
    <w:rsid w:val="008B3499"/>
    <w:rsid w:val="008B3B96"/>
    <w:rsid w:val="008B3E38"/>
    <w:rsid w:val="008B40C8"/>
    <w:rsid w:val="008B411F"/>
    <w:rsid w:val="008B4808"/>
    <w:rsid w:val="008B4E03"/>
    <w:rsid w:val="008B50A2"/>
    <w:rsid w:val="008B521F"/>
    <w:rsid w:val="008B548D"/>
    <w:rsid w:val="008B5594"/>
    <w:rsid w:val="008B55FE"/>
    <w:rsid w:val="008B5720"/>
    <w:rsid w:val="008B5783"/>
    <w:rsid w:val="008B5F77"/>
    <w:rsid w:val="008B6860"/>
    <w:rsid w:val="008B693A"/>
    <w:rsid w:val="008B6DED"/>
    <w:rsid w:val="008B71BC"/>
    <w:rsid w:val="008B7269"/>
    <w:rsid w:val="008B7300"/>
    <w:rsid w:val="008B7334"/>
    <w:rsid w:val="008B76D4"/>
    <w:rsid w:val="008B7988"/>
    <w:rsid w:val="008B7E50"/>
    <w:rsid w:val="008C019E"/>
    <w:rsid w:val="008C0849"/>
    <w:rsid w:val="008C088E"/>
    <w:rsid w:val="008C08D8"/>
    <w:rsid w:val="008C09FC"/>
    <w:rsid w:val="008C0A31"/>
    <w:rsid w:val="008C0AC3"/>
    <w:rsid w:val="008C1467"/>
    <w:rsid w:val="008C18FB"/>
    <w:rsid w:val="008C1E7B"/>
    <w:rsid w:val="008C29D3"/>
    <w:rsid w:val="008C31A6"/>
    <w:rsid w:val="008C370A"/>
    <w:rsid w:val="008C3744"/>
    <w:rsid w:val="008C3799"/>
    <w:rsid w:val="008C38D8"/>
    <w:rsid w:val="008C3911"/>
    <w:rsid w:val="008C3A18"/>
    <w:rsid w:val="008C3A39"/>
    <w:rsid w:val="008C455C"/>
    <w:rsid w:val="008C464C"/>
    <w:rsid w:val="008C478D"/>
    <w:rsid w:val="008C498B"/>
    <w:rsid w:val="008C4DF6"/>
    <w:rsid w:val="008C4F9E"/>
    <w:rsid w:val="008C537C"/>
    <w:rsid w:val="008C5750"/>
    <w:rsid w:val="008C5793"/>
    <w:rsid w:val="008C5A27"/>
    <w:rsid w:val="008C5ABA"/>
    <w:rsid w:val="008C5AC0"/>
    <w:rsid w:val="008C5DF4"/>
    <w:rsid w:val="008C5E08"/>
    <w:rsid w:val="008C5E23"/>
    <w:rsid w:val="008C5F2F"/>
    <w:rsid w:val="008C60AC"/>
    <w:rsid w:val="008C61B5"/>
    <w:rsid w:val="008C6203"/>
    <w:rsid w:val="008C624C"/>
    <w:rsid w:val="008C62ED"/>
    <w:rsid w:val="008C6476"/>
    <w:rsid w:val="008C662D"/>
    <w:rsid w:val="008C6943"/>
    <w:rsid w:val="008C6D04"/>
    <w:rsid w:val="008C6FFD"/>
    <w:rsid w:val="008C7017"/>
    <w:rsid w:val="008C729E"/>
    <w:rsid w:val="008C759F"/>
    <w:rsid w:val="008C7BAF"/>
    <w:rsid w:val="008C7EB4"/>
    <w:rsid w:val="008D028A"/>
    <w:rsid w:val="008D0344"/>
    <w:rsid w:val="008D0834"/>
    <w:rsid w:val="008D0A36"/>
    <w:rsid w:val="008D0DD2"/>
    <w:rsid w:val="008D1297"/>
    <w:rsid w:val="008D15D0"/>
    <w:rsid w:val="008D18EB"/>
    <w:rsid w:val="008D1F86"/>
    <w:rsid w:val="008D1FCC"/>
    <w:rsid w:val="008D21CE"/>
    <w:rsid w:val="008D2761"/>
    <w:rsid w:val="008D2770"/>
    <w:rsid w:val="008D2B9E"/>
    <w:rsid w:val="008D30CE"/>
    <w:rsid w:val="008D33F9"/>
    <w:rsid w:val="008D351B"/>
    <w:rsid w:val="008D3520"/>
    <w:rsid w:val="008D3650"/>
    <w:rsid w:val="008D3CEA"/>
    <w:rsid w:val="008D3D6F"/>
    <w:rsid w:val="008D4221"/>
    <w:rsid w:val="008D4322"/>
    <w:rsid w:val="008D446A"/>
    <w:rsid w:val="008D4836"/>
    <w:rsid w:val="008D4A6D"/>
    <w:rsid w:val="008D4D38"/>
    <w:rsid w:val="008D530A"/>
    <w:rsid w:val="008D5555"/>
    <w:rsid w:val="008D58B2"/>
    <w:rsid w:val="008D5FCA"/>
    <w:rsid w:val="008D61D9"/>
    <w:rsid w:val="008D63BC"/>
    <w:rsid w:val="008D67C8"/>
    <w:rsid w:val="008D6A1F"/>
    <w:rsid w:val="008D6C4E"/>
    <w:rsid w:val="008D737D"/>
    <w:rsid w:val="008D73AF"/>
    <w:rsid w:val="008D74E2"/>
    <w:rsid w:val="008D7597"/>
    <w:rsid w:val="008D7790"/>
    <w:rsid w:val="008D77AB"/>
    <w:rsid w:val="008D7971"/>
    <w:rsid w:val="008E02B5"/>
    <w:rsid w:val="008E0916"/>
    <w:rsid w:val="008E0D8A"/>
    <w:rsid w:val="008E1187"/>
    <w:rsid w:val="008E1276"/>
    <w:rsid w:val="008E1370"/>
    <w:rsid w:val="008E1AEA"/>
    <w:rsid w:val="008E1DA9"/>
    <w:rsid w:val="008E204D"/>
    <w:rsid w:val="008E21AB"/>
    <w:rsid w:val="008E231A"/>
    <w:rsid w:val="008E2931"/>
    <w:rsid w:val="008E2CB2"/>
    <w:rsid w:val="008E31E5"/>
    <w:rsid w:val="008E3348"/>
    <w:rsid w:val="008E34E3"/>
    <w:rsid w:val="008E3A4C"/>
    <w:rsid w:val="008E3AD3"/>
    <w:rsid w:val="008E3E21"/>
    <w:rsid w:val="008E3EE4"/>
    <w:rsid w:val="008E416C"/>
    <w:rsid w:val="008E481B"/>
    <w:rsid w:val="008E4CAD"/>
    <w:rsid w:val="008E4CD8"/>
    <w:rsid w:val="008E55B2"/>
    <w:rsid w:val="008E5F85"/>
    <w:rsid w:val="008E639B"/>
    <w:rsid w:val="008E689F"/>
    <w:rsid w:val="008E6AA9"/>
    <w:rsid w:val="008E6C61"/>
    <w:rsid w:val="008E6EE6"/>
    <w:rsid w:val="008E72CF"/>
    <w:rsid w:val="008E73AF"/>
    <w:rsid w:val="008E7506"/>
    <w:rsid w:val="008E75A1"/>
    <w:rsid w:val="008E772D"/>
    <w:rsid w:val="008E79C5"/>
    <w:rsid w:val="008E7B61"/>
    <w:rsid w:val="008E7FD9"/>
    <w:rsid w:val="008F0072"/>
    <w:rsid w:val="008F0380"/>
    <w:rsid w:val="008F0423"/>
    <w:rsid w:val="008F07D2"/>
    <w:rsid w:val="008F095B"/>
    <w:rsid w:val="008F0CEF"/>
    <w:rsid w:val="008F0EF6"/>
    <w:rsid w:val="008F0FBF"/>
    <w:rsid w:val="008F129C"/>
    <w:rsid w:val="008F1820"/>
    <w:rsid w:val="008F186D"/>
    <w:rsid w:val="008F1904"/>
    <w:rsid w:val="008F1CCE"/>
    <w:rsid w:val="008F1D0B"/>
    <w:rsid w:val="008F1E8C"/>
    <w:rsid w:val="008F25C7"/>
    <w:rsid w:val="008F29C3"/>
    <w:rsid w:val="008F2ACB"/>
    <w:rsid w:val="008F2F7A"/>
    <w:rsid w:val="008F2FCD"/>
    <w:rsid w:val="008F33FE"/>
    <w:rsid w:val="008F376F"/>
    <w:rsid w:val="008F470A"/>
    <w:rsid w:val="008F4A9C"/>
    <w:rsid w:val="008F4CD4"/>
    <w:rsid w:val="008F516B"/>
    <w:rsid w:val="008F56FE"/>
    <w:rsid w:val="008F5B22"/>
    <w:rsid w:val="008F5C2C"/>
    <w:rsid w:val="008F5E26"/>
    <w:rsid w:val="008F6090"/>
    <w:rsid w:val="008F6140"/>
    <w:rsid w:val="008F644E"/>
    <w:rsid w:val="008F67AA"/>
    <w:rsid w:val="008F6825"/>
    <w:rsid w:val="008F7270"/>
    <w:rsid w:val="008F75C7"/>
    <w:rsid w:val="008F7631"/>
    <w:rsid w:val="008F7F2A"/>
    <w:rsid w:val="009001C1"/>
    <w:rsid w:val="0090025C"/>
    <w:rsid w:val="0090027C"/>
    <w:rsid w:val="009002A4"/>
    <w:rsid w:val="00900321"/>
    <w:rsid w:val="0090042F"/>
    <w:rsid w:val="0090083D"/>
    <w:rsid w:val="00900D61"/>
    <w:rsid w:val="00901139"/>
    <w:rsid w:val="00901190"/>
    <w:rsid w:val="0090126F"/>
    <w:rsid w:val="00901284"/>
    <w:rsid w:val="00901409"/>
    <w:rsid w:val="00901A98"/>
    <w:rsid w:val="00901C9E"/>
    <w:rsid w:val="00901CB8"/>
    <w:rsid w:val="00901D79"/>
    <w:rsid w:val="00901ED0"/>
    <w:rsid w:val="009022F5"/>
    <w:rsid w:val="00902315"/>
    <w:rsid w:val="00902587"/>
    <w:rsid w:val="0090271F"/>
    <w:rsid w:val="0090273A"/>
    <w:rsid w:val="009028C1"/>
    <w:rsid w:val="00902D27"/>
    <w:rsid w:val="00902F74"/>
    <w:rsid w:val="00903286"/>
    <w:rsid w:val="00903422"/>
    <w:rsid w:val="0090353D"/>
    <w:rsid w:val="00903A46"/>
    <w:rsid w:val="00903BE6"/>
    <w:rsid w:val="00903C56"/>
    <w:rsid w:val="00903F0F"/>
    <w:rsid w:val="00904275"/>
    <w:rsid w:val="00904399"/>
    <w:rsid w:val="0090468B"/>
    <w:rsid w:val="0090485D"/>
    <w:rsid w:val="00904BB2"/>
    <w:rsid w:val="00904FC3"/>
    <w:rsid w:val="0090513D"/>
    <w:rsid w:val="009058AB"/>
    <w:rsid w:val="00905B17"/>
    <w:rsid w:val="00905D2C"/>
    <w:rsid w:val="00906053"/>
    <w:rsid w:val="009062BA"/>
    <w:rsid w:val="00906800"/>
    <w:rsid w:val="00906B16"/>
    <w:rsid w:val="00906B22"/>
    <w:rsid w:val="00906B94"/>
    <w:rsid w:val="00907013"/>
    <w:rsid w:val="00907035"/>
    <w:rsid w:val="009073AA"/>
    <w:rsid w:val="009074FE"/>
    <w:rsid w:val="009075B1"/>
    <w:rsid w:val="009076D3"/>
    <w:rsid w:val="00907821"/>
    <w:rsid w:val="00907B0C"/>
    <w:rsid w:val="00907B0F"/>
    <w:rsid w:val="00907B2E"/>
    <w:rsid w:val="00907D81"/>
    <w:rsid w:val="00907E3C"/>
    <w:rsid w:val="00907E7D"/>
    <w:rsid w:val="00907F32"/>
    <w:rsid w:val="0091014E"/>
    <w:rsid w:val="009101F5"/>
    <w:rsid w:val="00910306"/>
    <w:rsid w:val="0091054D"/>
    <w:rsid w:val="00910B18"/>
    <w:rsid w:val="00910D81"/>
    <w:rsid w:val="00911246"/>
    <w:rsid w:val="00911412"/>
    <w:rsid w:val="0091144A"/>
    <w:rsid w:val="00911ECD"/>
    <w:rsid w:val="00911EE2"/>
    <w:rsid w:val="00911FA8"/>
    <w:rsid w:val="00912012"/>
    <w:rsid w:val="00912356"/>
    <w:rsid w:val="00912826"/>
    <w:rsid w:val="0091285C"/>
    <w:rsid w:val="00912B81"/>
    <w:rsid w:val="00912C19"/>
    <w:rsid w:val="00912CF9"/>
    <w:rsid w:val="00912E0C"/>
    <w:rsid w:val="00913021"/>
    <w:rsid w:val="00913703"/>
    <w:rsid w:val="00913A16"/>
    <w:rsid w:val="00913D90"/>
    <w:rsid w:val="00913EC5"/>
    <w:rsid w:val="009142B8"/>
    <w:rsid w:val="00914369"/>
    <w:rsid w:val="009143A6"/>
    <w:rsid w:val="00914413"/>
    <w:rsid w:val="00914985"/>
    <w:rsid w:val="00914CDC"/>
    <w:rsid w:val="009153D6"/>
    <w:rsid w:val="0091556A"/>
    <w:rsid w:val="0091565A"/>
    <w:rsid w:val="00915B80"/>
    <w:rsid w:val="00915C71"/>
    <w:rsid w:val="00915D8E"/>
    <w:rsid w:val="00915E51"/>
    <w:rsid w:val="009160EA"/>
    <w:rsid w:val="00916139"/>
    <w:rsid w:val="00916181"/>
    <w:rsid w:val="009161CA"/>
    <w:rsid w:val="00916398"/>
    <w:rsid w:val="00916A67"/>
    <w:rsid w:val="00916BBC"/>
    <w:rsid w:val="00916C78"/>
    <w:rsid w:val="00916E42"/>
    <w:rsid w:val="00916EBA"/>
    <w:rsid w:val="00917195"/>
    <w:rsid w:val="00917322"/>
    <w:rsid w:val="0091732D"/>
    <w:rsid w:val="0091767F"/>
    <w:rsid w:val="009176A6"/>
    <w:rsid w:val="009201DB"/>
    <w:rsid w:val="00920820"/>
    <w:rsid w:val="00920A8D"/>
    <w:rsid w:val="00920B72"/>
    <w:rsid w:val="00920E4B"/>
    <w:rsid w:val="009211E8"/>
    <w:rsid w:val="009212A9"/>
    <w:rsid w:val="00921354"/>
    <w:rsid w:val="00921729"/>
    <w:rsid w:val="00921774"/>
    <w:rsid w:val="00921CDF"/>
    <w:rsid w:val="00921FA5"/>
    <w:rsid w:val="00922053"/>
    <w:rsid w:val="00922791"/>
    <w:rsid w:val="0092279E"/>
    <w:rsid w:val="009227D1"/>
    <w:rsid w:val="00922F82"/>
    <w:rsid w:val="00922FBA"/>
    <w:rsid w:val="00923539"/>
    <w:rsid w:val="009238D9"/>
    <w:rsid w:val="00923CA7"/>
    <w:rsid w:val="00923D47"/>
    <w:rsid w:val="0092412F"/>
    <w:rsid w:val="009242D9"/>
    <w:rsid w:val="00924EB4"/>
    <w:rsid w:val="00925018"/>
    <w:rsid w:val="009258B0"/>
    <w:rsid w:val="00925B00"/>
    <w:rsid w:val="00925D03"/>
    <w:rsid w:val="00925E49"/>
    <w:rsid w:val="0092605B"/>
    <w:rsid w:val="00926F57"/>
    <w:rsid w:val="00927058"/>
    <w:rsid w:val="0092706B"/>
    <w:rsid w:val="00927203"/>
    <w:rsid w:val="0092798C"/>
    <w:rsid w:val="00927C07"/>
    <w:rsid w:val="0093006C"/>
    <w:rsid w:val="00930080"/>
    <w:rsid w:val="0093025F"/>
    <w:rsid w:val="00930312"/>
    <w:rsid w:val="00930476"/>
    <w:rsid w:val="009304C2"/>
    <w:rsid w:val="00930737"/>
    <w:rsid w:val="0093079D"/>
    <w:rsid w:val="009307F0"/>
    <w:rsid w:val="00930BBE"/>
    <w:rsid w:val="00931085"/>
    <w:rsid w:val="009310C0"/>
    <w:rsid w:val="009311F9"/>
    <w:rsid w:val="00931388"/>
    <w:rsid w:val="009313BA"/>
    <w:rsid w:val="009316B7"/>
    <w:rsid w:val="00931F21"/>
    <w:rsid w:val="009322BE"/>
    <w:rsid w:val="00932386"/>
    <w:rsid w:val="00932AEB"/>
    <w:rsid w:val="00932BCC"/>
    <w:rsid w:val="00932C22"/>
    <w:rsid w:val="00932DF6"/>
    <w:rsid w:val="00933126"/>
    <w:rsid w:val="009331B5"/>
    <w:rsid w:val="0093347F"/>
    <w:rsid w:val="00933A82"/>
    <w:rsid w:val="00934082"/>
    <w:rsid w:val="0093467A"/>
    <w:rsid w:val="00934C2A"/>
    <w:rsid w:val="00934CFB"/>
    <w:rsid w:val="00934E61"/>
    <w:rsid w:val="00934F88"/>
    <w:rsid w:val="0093503D"/>
    <w:rsid w:val="00935063"/>
    <w:rsid w:val="009350E4"/>
    <w:rsid w:val="009352ED"/>
    <w:rsid w:val="009353A5"/>
    <w:rsid w:val="00935521"/>
    <w:rsid w:val="00935870"/>
    <w:rsid w:val="00935DFF"/>
    <w:rsid w:val="009362AA"/>
    <w:rsid w:val="0093667B"/>
    <w:rsid w:val="0093696F"/>
    <w:rsid w:val="00936AC6"/>
    <w:rsid w:val="00936B81"/>
    <w:rsid w:val="00936CF4"/>
    <w:rsid w:val="00936D77"/>
    <w:rsid w:val="00936DDC"/>
    <w:rsid w:val="0093701B"/>
    <w:rsid w:val="009370AC"/>
    <w:rsid w:val="00940062"/>
    <w:rsid w:val="009401A0"/>
    <w:rsid w:val="0094050C"/>
    <w:rsid w:val="00940583"/>
    <w:rsid w:val="009405CA"/>
    <w:rsid w:val="00940711"/>
    <w:rsid w:val="00940764"/>
    <w:rsid w:val="0094092F"/>
    <w:rsid w:val="00940C67"/>
    <w:rsid w:val="00940F22"/>
    <w:rsid w:val="00940F6B"/>
    <w:rsid w:val="00941138"/>
    <w:rsid w:val="0094158B"/>
    <w:rsid w:val="00941691"/>
    <w:rsid w:val="0094180F"/>
    <w:rsid w:val="009418E5"/>
    <w:rsid w:val="00941C75"/>
    <w:rsid w:val="00942A62"/>
    <w:rsid w:val="00943023"/>
    <w:rsid w:val="00943088"/>
    <w:rsid w:val="009434CC"/>
    <w:rsid w:val="009436C9"/>
    <w:rsid w:val="00943A2F"/>
    <w:rsid w:val="00943BE3"/>
    <w:rsid w:val="00943E09"/>
    <w:rsid w:val="00944213"/>
    <w:rsid w:val="009442FC"/>
    <w:rsid w:val="009445F1"/>
    <w:rsid w:val="009450FC"/>
    <w:rsid w:val="00945656"/>
    <w:rsid w:val="00945A56"/>
    <w:rsid w:val="00945AD5"/>
    <w:rsid w:val="00945B56"/>
    <w:rsid w:val="00945C74"/>
    <w:rsid w:val="00946213"/>
    <w:rsid w:val="009463DB"/>
    <w:rsid w:val="00946F96"/>
    <w:rsid w:val="00946FE7"/>
    <w:rsid w:val="009470F8"/>
    <w:rsid w:val="00947195"/>
    <w:rsid w:val="00947370"/>
    <w:rsid w:val="00947401"/>
    <w:rsid w:val="009474A0"/>
    <w:rsid w:val="00947A97"/>
    <w:rsid w:val="00947C21"/>
    <w:rsid w:val="00947DFF"/>
    <w:rsid w:val="00950078"/>
    <w:rsid w:val="00950716"/>
    <w:rsid w:val="00950876"/>
    <w:rsid w:val="009508A9"/>
    <w:rsid w:val="00950D9C"/>
    <w:rsid w:val="00951158"/>
    <w:rsid w:val="00951440"/>
    <w:rsid w:val="00951481"/>
    <w:rsid w:val="0095151B"/>
    <w:rsid w:val="00951ACF"/>
    <w:rsid w:val="00951B71"/>
    <w:rsid w:val="00951D97"/>
    <w:rsid w:val="00951E3E"/>
    <w:rsid w:val="00951E58"/>
    <w:rsid w:val="00951FCF"/>
    <w:rsid w:val="009523DC"/>
    <w:rsid w:val="009528FF"/>
    <w:rsid w:val="009529C2"/>
    <w:rsid w:val="009529C8"/>
    <w:rsid w:val="00953254"/>
    <w:rsid w:val="0095338E"/>
    <w:rsid w:val="009537BA"/>
    <w:rsid w:val="009538B9"/>
    <w:rsid w:val="009538EF"/>
    <w:rsid w:val="009539C5"/>
    <w:rsid w:val="0095430A"/>
    <w:rsid w:val="0095430F"/>
    <w:rsid w:val="00954385"/>
    <w:rsid w:val="00954471"/>
    <w:rsid w:val="009545BC"/>
    <w:rsid w:val="009548FC"/>
    <w:rsid w:val="009549CA"/>
    <w:rsid w:val="00954A48"/>
    <w:rsid w:val="00954A6E"/>
    <w:rsid w:val="00954DC7"/>
    <w:rsid w:val="009550CE"/>
    <w:rsid w:val="009550F2"/>
    <w:rsid w:val="00955222"/>
    <w:rsid w:val="009552B7"/>
    <w:rsid w:val="00955316"/>
    <w:rsid w:val="009553AF"/>
    <w:rsid w:val="009553C4"/>
    <w:rsid w:val="0095569D"/>
    <w:rsid w:val="00955734"/>
    <w:rsid w:val="009559FD"/>
    <w:rsid w:val="00955A56"/>
    <w:rsid w:val="00955A5B"/>
    <w:rsid w:val="00955A8E"/>
    <w:rsid w:val="00955ACD"/>
    <w:rsid w:val="00955DCB"/>
    <w:rsid w:val="00956C3A"/>
    <w:rsid w:val="00956D73"/>
    <w:rsid w:val="00956D7E"/>
    <w:rsid w:val="009572C3"/>
    <w:rsid w:val="009572F8"/>
    <w:rsid w:val="0095749A"/>
    <w:rsid w:val="009576E7"/>
    <w:rsid w:val="0095775A"/>
    <w:rsid w:val="00957DE8"/>
    <w:rsid w:val="00957EA5"/>
    <w:rsid w:val="00960041"/>
    <w:rsid w:val="0096012E"/>
    <w:rsid w:val="00960729"/>
    <w:rsid w:val="0096092D"/>
    <w:rsid w:val="00960F04"/>
    <w:rsid w:val="0096123B"/>
    <w:rsid w:val="00961800"/>
    <w:rsid w:val="00961B71"/>
    <w:rsid w:val="00961B92"/>
    <w:rsid w:val="00961CCF"/>
    <w:rsid w:val="00962401"/>
    <w:rsid w:val="009626EA"/>
    <w:rsid w:val="009627D8"/>
    <w:rsid w:val="009628E7"/>
    <w:rsid w:val="00962EC0"/>
    <w:rsid w:val="00962ED8"/>
    <w:rsid w:val="0096319B"/>
    <w:rsid w:val="0096343B"/>
    <w:rsid w:val="009635AD"/>
    <w:rsid w:val="0096367A"/>
    <w:rsid w:val="009640CA"/>
    <w:rsid w:val="0096474B"/>
    <w:rsid w:val="0096484B"/>
    <w:rsid w:val="009649BD"/>
    <w:rsid w:val="00964A9E"/>
    <w:rsid w:val="00964E10"/>
    <w:rsid w:val="009651E7"/>
    <w:rsid w:val="009653C3"/>
    <w:rsid w:val="00965726"/>
    <w:rsid w:val="00965A9E"/>
    <w:rsid w:val="00965BD1"/>
    <w:rsid w:val="00965BEC"/>
    <w:rsid w:val="00965C78"/>
    <w:rsid w:val="00966009"/>
    <w:rsid w:val="009662D0"/>
    <w:rsid w:val="009663F7"/>
    <w:rsid w:val="00966827"/>
    <w:rsid w:val="00966835"/>
    <w:rsid w:val="00966901"/>
    <w:rsid w:val="00966BF9"/>
    <w:rsid w:val="009670A6"/>
    <w:rsid w:val="009674F6"/>
    <w:rsid w:val="00967588"/>
    <w:rsid w:val="00967930"/>
    <w:rsid w:val="0096795B"/>
    <w:rsid w:val="00967B4D"/>
    <w:rsid w:val="009700ED"/>
    <w:rsid w:val="0097023F"/>
    <w:rsid w:val="009702DA"/>
    <w:rsid w:val="00970488"/>
    <w:rsid w:val="00970661"/>
    <w:rsid w:val="00970930"/>
    <w:rsid w:val="00970BA1"/>
    <w:rsid w:val="00970CFE"/>
    <w:rsid w:val="00971282"/>
    <w:rsid w:val="00971371"/>
    <w:rsid w:val="0097144F"/>
    <w:rsid w:val="009716E3"/>
    <w:rsid w:val="009719F6"/>
    <w:rsid w:val="00971CF6"/>
    <w:rsid w:val="00971DB0"/>
    <w:rsid w:val="00971EA4"/>
    <w:rsid w:val="00972352"/>
    <w:rsid w:val="0097247A"/>
    <w:rsid w:val="0097253D"/>
    <w:rsid w:val="0097279B"/>
    <w:rsid w:val="00972A3F"/>
    <w:rsid w:val="00972CE9"/>
    <w:rsid w:val="00972DE9"/>
    <w:rsid w:val="009731DC"/>
    <w:rsid w:val="009735CE"/>
    <w:rsid w:val="0097367C"/>
    <w:rsid w:val="00973886"/>
    <w:rsid w:val="00973FE6"/>
    <w:rsid w:val="00974023"/>
    <w:rsid w:val="0097407C"/>
    <w:rsid w:val="00974240"/>
    <w:rsid w:val="00974605"/>
    <w:rsid w:val="00974A49"/>
    <w:rsid w:val="00974D41"/>
    <w:rsid w:val="00975390"/>
    <w:rsid w:val="009755AB"/>
    <w:rsid w:val="0097592F"/>
    <w:rsid w:val="009759CE"/>
    <w:rsid w:val="00975B5C"/>
    <w:rsid w:val="00976066"/>
    <w:rsid w:val="0097646B"/>
    <w:rsid w:val="009766E9"/>
    <w:rsid w:val="00976818"/>
    <w:rsid w:val="00976CA0"/>
    <w:rsid w:val="00976D64"/>
    <w:rsid w:val="009770FA"/>
    <w:rsid w:val="009771FD"/>
    <w:rsid w:val="0097730F"/>
    <w:rsid w:val="0097737F"/>
    <w:rsid w:val="00977A41"/>
    <w:rsid w:val="00977D07"/>
    <w:rsid w:val="00977F10"/>
    <w:rsid w:val="00980315"/>
    <w:rsid w:val="0098099E"/>
    <w:rsid w:val="00980A89"/>
    <w:rsid w:val="00980CF1"/>
    <w:rsid w:val="0098124E"/>
    <w:rsid w:val="00981281"/>
    <w:rsid w:val="00981779"/>
    <w:rsid w:val="009817BB"/>
    <w:rsid w:val="00981915"/>
    <w:rsid w:val="00981DBD"/>
    <w:rsid w:val="00981F4A"/>
    <w:rsid w:val="0098205F"/>
    <w:rsid w:val="00982118"/>
    <w:rsid w:val="009824AA"/>
    <w:rsid w:val="00982754"/>
    <w:rsid w:val="0098299B"/>
    <w:rsid w:val="00982BB1"/>
    <w:rsid w:val="00982CDD"/>
    <w:rsid w:val="00982CE6"/>
    <w:rsid w:val="00982EA2"/>
    <w:rsid w:val="00982F6F"/>
    <w:rsid w:val="00983026"/>
    <w:rsid w:val="0098302E"/>
    <w:rsid w:val="009830A2"/>
    <w:rsid w:val="009836D1"/>
    <w:rsid w:val="00983ABF"/>
    <w:rsid w:val="00983B42"/>
    <w:rsid w:val="00983CFE"/>
    <w:rsid w:val="00983F59"/>
    <w:rsid w:val="0098417D"/>
    <w:rsid w:val="009841C8"/>
    <w:rsid w:val="00984740"/>
    <w:rsid w:val="00984E5F"/>
    <w:rsid w:val="00984F32"/>
    <w:rsid w:val="0098501D"/>
    <w:rsid w:val="009851D4"/>
    <w:rsid w:val="00985268"/>
    <w:rsid w:val="009854CA"/>
    <w:rsid w:val="009855FD"/>
    <w:rsid w:val="00985C2F"/>
    <w:rsid w:val="009861BE"/>
    <w:rsid w:val="00986719"/>
    <w:rsid w:val="00986723"/>
    <w:rsid w:val="00986A22"/>
    <w:rsid w:val="00986AAA"/>
    <w:rsid w:val="00986ADE"/>
    <w:rsid w:val="00986B73"/>
    <w:rsid w:val="00986BFA"/>
    <w:rsid w:val="00986CB5"/>
    <w:rsid w:val="00986D1E"/>
    <w:rsid w:val="00986D27"/>
    <w:rsid w:val="00986F60"/>
    <w:rsid w:val="0098763F"/>
    <w:rsid w:val="00987776"/>
    <w:rsid w:val="00987BAA"/>
    <w:rsid w:val="00987FB7"/>
    <w:rsid w:val="00990030"/>
    <w:rsid w:val="0099040E"/>
    <w:rsid w:val="00990455"/>
    <w:rsid w:val="0099055D"/>
    <w:rsid w:val="009908D3"/>
    <w:rsid w:val="009909CD"/>
    <w:rsid w:val="00990B7C"/>
    <w:rsid w:val="00990C83"/>
    <w:rsid w:val="009910EA"/>
    <w:rsid w:val="0099122E"/>
    <w:rsid w:val="0099132B"/>
    <w:rsid w:val="0099163D"/>
    <w:rsid w:val="00991A23"/>
    <w:rsid w:val="00991A87"/>
    <w:rsid w:val="00991CF9"/>
    <w:rsid w:val="00991EDD"/>
    <w:rsid w:val="0099221F"/>
    <w:rsid w:val="009922D0"/>
    <w:rsid w:val="00992754"/>
    <w:rsid w:val="009927AD"/>
    <w:rsid w:val="00992830"/>
    <w:rsid w:val="009928B4"/>
    <w:rsid w:val="009928BC"/>
    <w:rsid w:val="009929FF"/>
    <w:rsid w:val="00992A26"/>
    <w:rsid w:val="00992EC1"/>
    <w:rsid w:val="009932B6"/>
    <w:rsid w:val="009936E5"/>
    <w:rsid w:val="00993A36"/>
    <w:rsid w:val="00993CFF"/>
    <w:rsid w:val="00993E0A"/>
    <w:rsid w:val="00994559"/>
    <w:rsid w:val="00994594"/>
    <w:rsid w:val="009945E7"/>
    <w:rsid w:val="0099467C"/>
    <w:rsid w:val="009946B9"/>
    <w:rsid w:val="00994DAA"/>
    <w:rsid w:val="009951A1"/>
    <w:rsid w:val="00995354"/>
    <w:rsid w:val="0099567C"/>
    <w:rsid w:val="0099584B"/>
    <w:rsid w:val="009958DE"/>
    <w:rsid w:val="0099591B"/>
    <w:rsid w:val="00995BE7"/>
    <w:rsid w:val="00995C47"/>
    <w:rsid w:val="00996183"/>
    <w:rsid w:val="009961CF"/>
    <w:rsid w:val="009962A1"/>
    <w:rsid w:val="00996936"/>
    <w:rsid w:val="00997066"/>
    <w:rsid w:val="0099715B"/>
    <w:rsid w:val="009973A9"/>
    <w:rsid w:val="009979CA"/>
    <w:rsid w:val="00997BF0"/>
    <w:rsid w:val="00997DE9"/>
    <w:rsid w:val="009A0018"/>
    <w:rsid w:val="009A068E"/>
    <w:rsid w:val="009A0A29"/>
    <w:rsid w:val="009A0B55"/>
    <w:rsid w:val="009A0B58"/>
    <w:rsid w:val="009A1111"/>
    <w:rsid w:val="009A149F"/>
    <w:rsid w:val="009A1981"/>
    <w:rsid w:val="009A1A92"/>
    <w:rsid w:val="009A1C31"/>
    <w:rsid w:val="009A1EF8"/>
    <w:rsid w:val="009A2013"/>
    <w:rsid w:val="009A206E"/>
    <w:rsid w:val="009A20C0"/>
    <w:rsid w:val="009A2372"/>
    <w:rsid w:val="009A2694"/>
    <w:rsid w:val="009A2712"/>
    <w:rsid w:val="009A275A"/>
    <w:rsid w:val="009A2C57"/>
    <w:rsid w:val="009A2E5F"/>
    <w:rsid w:val="009A2EC6"/>
    <w:rsid w:val="009A33AC"/>
    <w:rsid w:val="009A3C31"/>
    <w:rsid w:val="009A3DD0"/>
    <w:rsid w:val="009A410A"/>
    <w:rsid w:val="009A4172"/>
    <w:rsid w:val="009A41D5"/>
    <w:rsid w:val="009A42A3"/>
    <w:rsid w:val="009A48A7"/>
    <w:rsid w:val="009A49ED"/>
    <w:rsid w:val="009A50C5"/>
    <w:rsid w:val="009A5233"/>
    <w:rsid w:val="009A5584"/>
    <w:rsid w:val="009A5A31"/>
    <w:rsid w:val="009A5C11"/>
    <w:rsid w:val="009A5D87"/>
    <w:rsid w:val="009A63B4"/>
    <w:rsid w:val="009A668F"/>
    <w:rsid w:val="009A67F3"/>
    <w:rsid w:val="009A6C20"/>
    <w:rsid w:val="009A6C64"/>
    <w:rsid w:val="009A6D87"/>
    <w:rsid w:val="009A702C"/>
    <w:rsid w:val="009A722B"/>
    <w:rsid w:val="009A7674"/>
    <w:rsid w:val="009A76B6"/>
    <w:rsid w:val="009A7803"/>
    <w:rsid w:val="009A79C0"/>
    <w:rsid w:val="009A7C7F"/>
    <w:rsid w:val="009A7EAB"/>
    <w:rsid w:val="009A7EEE"/>
    <w:rsid w:val="009B0296"/>
    <w:rsid w:val="009B0624"/>
    <w:rsid w:val="009B0827"/>
    <w:rsid w:val="009B0DCF"/>
    <w:rsid w:val="009B0E0B"/>
    <w:rsid w:val="009B0EDB"/>
    <w:rsid w:val="009B1253"/>
    <w:rsid w:val="009B150D"/>
    <w:rsid w:val="009B1929"/>
    <w:rsid w:val="009B19B4"/>
    <w:rsid w:val="009B1ACB"/>
    <w:rsid w:val="009B1B70"/>
    <w:rsid w:val="009B1C3B"/>
    <w:rsid w:val="009B1D4B"/>
    <w:rsid w:val="009B1E25"/>
    <w:rsid w:val="009B262F"/>
    <w:rsid w:val="009B2786"/>
    <w:rsid w:val="009B27E0"/>
    <w:rsid w:val="009B2882"/>
    <w:rsid w:val="009B2B18"/>
    <w:rsid w:val="009B2BE9"/>
    <w:rsid w:val="009B2BF0"/>
    <w:rsid w:val="009B2CF3"/>
    <w:rsid w:val="009B2DB8"/>
    <w:rsid w:val="009B2EF8"/>
    <w:rsid w:val="009B3310"/>
    <w:rsid w:val="009B398B"/>
    <w:rsid w:val="009B39AA"/>
    <w:rsid w:val="009B474D"/>
    <w:rsid w:val="009B4C3A"/>
    <w:rsid w:val="009B4DE9"/>
    <w:rsid w:val="009B4E27"/>
    <w:rsid w:val="009B549D"/>
    <w:rsid w:val="009B562E"/>
    <w:rsid w:val="009B59EE"/>
    <w:rsid w:val="009B5B5A"/>
    <w:rsid w:val="009B5D55"/>
    <w:rsid w:val="009B5E95"/>
    <w:rsid w:val="009B5FEE"/>
    <w:rsid w:val="009B6005"/>
    <w:rsid w:val="009B60B9"/>
    <w:rsid w:val="009B6857"/>
    <w:rsid w:val="009B692A"/>
    <w:rsid w:val="009B6BBA"/>
    <w:rsid w:val="009B6D9F"/>
    <w:rsid w:val="009B6FD0"/>
    <w:rsid w:val="009B720E"/>
    <w:rsid w:val="009B7554"/>
    <w:rsid w:val="009B762B"/>
    <w:rsid w:val="009B769A"/>
    <w:rsid w:val="009B7C64"/>
    <w:rsid w:val="009B7F72"/>
    <w:rsid w:val="009C008C"/>
    <w:rsid w:val="009C02F1"/>
    <w:rsid w:val="009C05B5"/>
    <w:rsid w:val="009C060E"/>
    <w:rsid w:val="009C0929"/>
    <w:rsid w:val="009C0A8E"/>
    <w:rsid w:val="009C0CAF"/>
    <w:rsid w:val="009C0D76"/>
    <w:rsid w:val="009C1355"/>
    <w:rsid w:val="009C14ED"/>
    <w:rsid w:val="009C15B7"/>
    <w:rsid w:val="009C16EE"/>
    <w:rsid w:val="009C18AE"/>
    <w:rsid w:val="009C1C21"/>
    <w:rsid w:val="009C2208"/>
    <w:rsid w:val="009C25BD"/>
    <w:rsid w:val="009C2860"/>
    <w:rsid w:val="009C2AFE"/>
    <w:rsid w:val="009C2FC1"/>
    <w:rsid w:val="009C32A9"/>
    <w:rsid w:val="009C34FF"/>
    <w:rsid w:val="009C355A"/>
    <w:rsid w:val="009C35C3"/>
    <w:rsid w:val="009C3DC2"/>
    <w:rsid w:val="009C3E3F"/>
    <w:rsid w:val="009C3FFD"/>
    <w:rsid w:val="009C421F"/>
    <w:rsid w:val="009C463B"/>
    <w:rsid w:val="009C4845"/>
    <w:rsid w:val="009C488B"/>
    <w:rsid w:val="009C4C9C"/>
    <w:rsid w:val="009C4D8F"/>
    <w:rsid w:val="009C4DD3"/>
    <w:rsid w:val="009C4E08"/>
    <w:rsid w:val="009C513D"/>
    <w:rsid w:val="009C5331"/>
    <w:rsid w:val="009C53C5"/>
    <w:rsid w:val="009C5AF3"/>
    <w:rsid w:val="009C5E30"/>
    <w:rsid w:val="009C610A"/>
    <w:rsid w:val="009C6233"/>
    <w:rsid w:val="009C6504"/>
    <w:rsid w:val="009C66FB"/>
    <w:rsid w:val="009C69E7"/>
    <w:rsid w:val="009C6C88"/>
    <w:rsid w:val="009C6EAC"/>
    <w:rsid w:val="009C7449"/>
    <w:rsid w:val="009C747E"/>
    <w:rsid w:val="009C7B34"/>
    <w:rsid w:val="009C7B7A"/>
    <w:rsid w:val="009D0278"/>
    <w:rsid w:val="009D02ED"/>
    <w:rsid w:val="009D0305"/>
    <w:rsid w:val="009D052E"/>
    <w:rsid w:val="009D06F7"/>
    <w:rsid w:val="009D0826"/>
    <w:rsid w:val="009D0B61"/>
    <w:rsid w:val="009D0F09"/>
    <w:rsid w:val="009D0F9F"/>
    <w:rsid w:val="009D14A2"/>
    <w:rsid w:val="009D17E3"/>
    <w:rsid w:val="009D1BC0"/>
    <w:rsid w:val="009D21F5"/>
    <w:rsid w:val="009D278F"/>
    <w:rsid w:val="009D282A"/>
    <w:rsid w:val="009D2C9A"/>
    <w:rsid w:val="009D2D5C"/>
    <w:rsid w:val="009D3006"/>
    <w:rsid w:val="009D30FC"/>
    <w:rsid w:val="009D33CB"/>
    <w:rsid w:val="009D3781"/>
    <w:rsid w:val="009D3860"/>
    <w:rsid w:val="009D3B37"/>
    <w:rsid w:val="009D3C32"/>
    <w:rsid w:val="009D4107"/>
    <w:rsid w:val="009D4397"/>
    <w:rsid w:val="009D47BF"/>
    <w:rsid w:val="009D482F"/>
    <w:rsid w:val="009D4A83"/>
    <w:rsid w:val="009D4BC3"/>
    <w:rsid w:val="009D4C6B"/>
    <w:rsid w:val="009D4EA6"/>
    <w:rsid w:val="009D557A"/>
    <w:rsid w:val="009D577A"/>
    <w:rsid w:val="009D58EF"/>
    <w:rsid w:val="009D5F37"/>
    <w:rsid w:val="009D5F66"/>
    <w:rsid w:val="009D61B6"/>
    <w:rsid w:val="009D6275"/>
    <w:rsid w:val="009D62C5"/>
    <w:rsid w:val="009D69DC"/>
    <w:rsid w:val="009D7193"/>
    <w:rsid w:val="009D75F2"/>
    <w:rsid w:val="009D76EF"/>
    <w:rsid w:val="009D7E96"/>
    <w:rsid w:val="009E0057"/>
    <w:rsid w:val="009E0107"/>
    <w:rsid w:val="009E0253"/>
    <w:rsid w:val="009E0529"/>
    <w:rsid w:val="009E1117"/>
    <w:rsid w:val="009E22CF"/>
    <w:rsid w:val="009E233D"/>
    <w:rsid w:val="009E24B7"/>
    <w:rsid w:val="009E2754"/>
    <w:rsid w:val="009E2782"/>
    <w:rsid w:val="009E2B45"/>
    <w:rsid w:val="009E2C79"/>
    <w:rsid w:val="009E2D71"/>
    <w:rsid w:val="009E2F55"/>
    <w:rsid w:val="009E30BA"/>
    <w:rsid w:val="009E3632"/>
    <w:rsid w:val="009E3849"/>
    <w:rsid w:val="009E3DB7"/>
    <w:rsid w:val="009E41BF"/>
    <w:rsid w:val="009E436F"/>
    <w:rsid w:val="009E452F"/>
    <w:rsid w:val="009E45B0"/>
    <w:rsid w:val="009E474E"/>
    <w:rsid w:val="009E4C0A"/>
    <w:rsid w:val="009E5266"/>
    <w:rsid w:val="009E5372"/>
    <w:rsid w:val="009E55C1"/>
    <w:rsid w:val="009E5BDC"/>
    <w:rsid w:val="009E5D57"/>
    <w:rsid w:val="009E6171"/>
    <w:rsid w:val="009E6B76"/>
    <w:rsid w:val="009E6DC3"/>
    <w:rsid w:val="009E6FDA"/>
    <w:rsid w:val="009E7259"/>
    <w:rsid w:val="009E728E"/>
    <w:rsid w:val="009E74E5"/>
    <w:rsid w:val="009E756C"/>
    <w:rsid w:val="009E78FE"/>
    <w:rsid w:val="009E7A61"/>
    <w:rsid w:val="009E7A62"/>
    <w:rsid w:val="009E7AE1"/>
    <w:rsid w:val="009E7E51"/>
    <w:rsid w:val="009E7EC3"/>
    <w:rsid w:val="009E7FAF"/>
    <w:rsid w:val="009E7FB6"/>
    <w:rsid w:val="009F03A4"/>
    <w:rsid w:val="009F0BE7"/>
    <w:rsid w:val="009F0CB1"/>
    <w:rsid w:val="009F0FE8"/>
    <w:rsid w:val="009F160A"/>
    <w:rsid w:val="009F18E1"/>
    <w:rsid w:val="009F1A2E"/>
    <w:rsid w:val="009F1CD5"/>
    <w:rsid w:val="009F1CEE"/>
    <w:rsid w:val="009F1E67"/>
    <w:rsid w:val="009F22CA"/>
    <w:rsid w:val="009F2B90"/>
    <w:rsid w:val="009F2DE7"/>
    <w:rsid w:val="009F3254"/>
    <w:rsid w:val="009F34BD"/>
    <w:rsid w:val="009F353C"/>
    <w:rsid w:val="009F382C"/>
    <w:rsid w:val="009F3B06"/>
    <w:rsid w:val="009F3B2C"/>
    <w:rsid w:val="009F3B42"/>
    <w:rsid w:val="009F3FC4"/>
    <w:rsid w:val="009F43DA"/>
    <w:rsid w:val="009F43F9"/>
    <w:rsid w:val="009F4CE4"/>
    <w:rsid w:val="009F4E3A"/>
    <w:rsid w:val="009F4F2E"/>
    <w:rsid w:val="009F51E4"/>
    <w:rsid w:val="009F552E"/>
    <w:rsid w:val="009F5897"/>
    <w:rsid w:val="009F5DCD"/>
    <w:rsid w:val="009F5EDC"/>
    <w:rsid w:val="009F5FBB"/>
    <w:rsid w:val="009F6016"/>
    <w:rsid w:val="009F615A"/>
    <w:rsid w:val="009F62B5"/>
    <w:rsid w:val="009F6A6D"/>
    <w:rsid w:val="009F6D7D"/>
    <w:rsid w:val="009F6E19"/>
    <w:rsid w:val="009F6ECF"/>
    <w:rsid w:val="009F71DD"/>
    <w:rsid w:val="009F77EF"/>
    <w:rsid w:val="009F7974"/>
    <w:rsid w:val="009F7B51"/>
    <w:rsid w:val="00A004B6"/>
    <w:rsid w:val="00A00619"/>
    <w:rsid w:val="00A00644"/>
    <w:rsid w:val="00A00724"/>
    <w:rsid w:val="00A00A2E"/>
    <w:rsid w:val="00A00DBB"/>
    <w:rsid w:val="00A0118E"/>
    <w:rsid w:val="00A016E6"/>
    <w:rsid w:val="00A0188A"/>
    <w:rsid w:val="00A01F44"/>
    <w:rsid w:val="00A01FC2"/>
    <w:rsid w:val="00A022D8"/>
    <w:rsid w:val="00A02336"/>
    <w:rsid w:val="00A0260C"/>
    <w:rsid w:val="00A0279A"/>
    <w:rsid w:val="00A027CB"/>
    <w:rsid w:val="00A02833"/>
    <w:rsid w:val="00A02885"/>
    <w:rsid w:val="00A02BE2"/>
    <w:rsid w:val="00A03032"/>
    <w:rsid w:val="00A0311C"/>
    <w:rsid w:val="00A033E6"/>
    <w:rsid w:val="00A03AE0"/>
    <w:rsid w:val="00A03F6B"/>
    <w:rsid w:val="00A04265"/>
    <w:rsid w:val="00A04B7B"/>
    <w:rsid w:val="00A04B7C"/>
    <w:rsid w:val="00A04D39"/>
    <w:rsid w:val="00A04F86"/>
    <w:rsid w:val="00A050A0"/>
    <w:rsid w:val="00A05293"/>
    <w:rsid w:val="00A05788"/>
    <w:rsid w:val="00A057BB"/>
    <w:rsid w:val="00A05C63"/>
    <w:rsid w:val="00A05CF5"/>
    <w:rsid w:val="00A05E5A"/>
    <w:rsid w:val="00A06262"/>
    <w:rsid w:val="00A063A4"/>
    <w:rsid w:val="00A065CB"/>
    <w:rsid w:val="00A0676D"/>
    <w:rsid w:val="00A067A7"/>
    <w:rsid w:val="00A0689D"/>
    <w:rsid w:val="00A0695D"/>
    <w:rsid w:val="00A06FE4"/>
    <w:rsid w:val="00A07002"/>
    <w:rsid w:val="00A0722B"/>
    <w:rsid w:val="00A074DD"/>
    <w:rsid w:val="00A07ACB"/>
    <w:rsid w:val="00A07CCF"/>
    <w:rsid w:val="00A07E70"/>
    <w:rsid w:val="00A1001E"/>
    <w:rsid w:val="00A100BE"/>
    <w:rsid w:val="00A1014E"/>
    <w:rsid w:val="00A105B6"/>
    <w:rsid w:val="00A10791"/>
    <w:rsid w:val="00A1087F"/>
    <w:rsid w:val="00A108F5"/>
    <w:rsid w:val="00A10B49"/>
    <w:rsid w:val="00A10BF6"/>
    <w:rsid w:val="00A10DA0"/>
    <w:rsid w:val="00A10DE0"/>
    <w:rsid w:val="00A10ED8"/>
    <w:rsid w:val="00A113BA"/>
    <w:rsid w:val="00A1169F"/>
    <w:rsid w:val="00A117B2"/>
    <w:rsid w:val="00A117B7"/>
    <w:rsid w:val="00A117D0"/>
    <w:rsid w:val="00A118F3"/>
    <w:rsid w:val="00A119B7"/>
    <w:rsid w:val="00A11A0D"/>
    <w:rsid w:val="00A11A9B"/>
    <w:rsid w:val="00A11B57"/>
    <w:rsid w:val="00A11C2C"/>
    <w:rsid w:val="00A12428"/>
    <w:rsid w:val="00A12689"/>
    <w:rsid w:val="00A1286F"/>
    <w:rsid w:val="00A12EE9"/>
    <w:rsid w:val="00A12F48"/>
    <w:rsid w:val="00A12FA3"/>
    <w:rsid w:val="00A12FCB"/>
    <w:rsid w:val="00A130BF"/>
    <w:rsid w:val="00A1362E"/>
    <w:rsid w:val="00A1392A"/>
    <w:rsid w:val="00A139E0"/>
    <w:rsid w:val="00A13CAE"/>
    <w:rsid w:val="00A13F60"/>
    <w:rsid w:val="00A13FDA"/>
    <w:rsid w:val="00A1402E"/>
    <w:rsid w:val="00A142AC"/>
    <w:rsid w:val="00A1478C"/>
    <w:rsid w:val="00A14E11"/>
    <w:rsid w:val="00A14E4E"/>
    <w:rsid w:val="00A14EB3"/>
    <w:rsid w:val="00A14F2B"/>
    <w:rsid w:val="00A15174"/>
    <w:rsid w:val="00A15858"/>
    <w:rsid w:val="00A1697C"/>
    <w:rsid w:val="00A16B70"/>
    <w:rsid w:val="00A16FC5"/>
    <w:rsid w:val="00A173A0"/>
    <w:rsid w:val="00A17A90"/>
    <w:rsid w:val="00A17B0A"/>
    <w:rsid w:val="00A17E85"/>
    <w:rsid w:val="00A20173"/>
    <w:rsid w:val="00A20854"/>
    <w:rsid w:val="00A209C4"/>
    <w:rsid w:val="00A20FDF"/>
    <w:rsid w:val="00A21217"/>
    <w:rsid w:val="00A2137E"/>
    <w:rsid w:val="00A217A8"/>
    <w:rsid w:val="00A21CAB"/>
    <w:rsid w:val="00A21EF5"/>
    <w:rsid w:val="00A22623"/>
    <w:rsid w:val="00A2276F"/>
    <w:rsid w:val="00A22879"/>
    <w:rsid w:val="00A22A95"/>
    <w:rsid w:val="00A22BB4"/>
    <w:rsid w:val="00A22BF8"/>
    <w:rsid w:val="00A22CC7"/>
    <w:rsid w:val="00A22EEC"/>
    <w:rsid w:val="00A23372"/>
    <w:rsid w:val="00A2367D"/>
    <w:rsid w:val="00A23A2A"/>
    <w:rsid w:val="00A23C2F"/>
    <w:rsid w:val="00A23C40"/>
    <w:rsid w:val="00A24221"/>
    <w:rsid w:val="00A2437F"/>
    <w:rsid w:val="00A247A5"/>
    <w:rsid w:val="00A24E18"/>
    <w:rsid w:val="00A25033"/>
    <w:rsid w:val="00A25044"/>
    <w:rsid w:val="00A250AD"/>
    <w:rsid w:val="00A25323"/>
    <w:rsid w:val="00A2593B"/>
    <w:rsid w:val="00A25ABC"/>
    <w:rsid w:val="00A25F79"/>
    <w:rsid w:val="00A2603F"/>
    <w:rsid w:val="00A260AD"/>
    <w:rsid w:val="00A260ED"/>
    <w:rsid w:val="00A266CB"/>
    <w:rsid w:val="00A26A41"/>
    <w:rsid w:val="00A2701F"/>
    <w:rsid w:val="00A2732E"/>
    <w:rsid w:val="00A275F0"/>
    <w:rsid w:val="00A27674"/>
    <w:rsid w:val="00A27C99"/>
    <w:rsid w:val="00A27D10"/>
    <w:rsid w:val="00A27EE4"/>
    <w:rsid w:val="00A305EF"/>
    <w:rsid w:val="00A307F9"/>
    <w:rsid w:val="00A30A00"/>
    <w:rsid w:val="00A30B21"/>
    <w:rsid w:val="00A30C7E"/>
    <w:rsid w:val="00A31153"/>
    <w:rsid w:val="00A3163A"/>
    <w:rsid w:val="00A3174D"/>
    <w:rsid w:val="00A3198C"/>
    <w:rsid w:val="00A31A7D"/>
    <w:rsid w:val="00A31A8C"/>
    <w:rsid w:val="00A31BFB"/>
    <w:rsid w:val="00A31C0B"/>
    <w:rsid w:val="00A31C41"/>
    <w:rsid w:val="00A31ECE"/>
    <w:rsid w:val="00A323AC"/>
    <w:rsid w:val="00A32590"/>
    <w:rsid w:val="00A328BA"/>
    <w:rsid w:val="00A329CA"/>
    <w:rsid w:val="00A32D18"/>
    <w:rsid w:val="00A32DA4"/>
    <w:rsid w:val="00A32ED2"/>
    <w:rsid w:val="00A3302C"/>
    <w:rsid w:val="00A331B5"/>
    <w:rsid w:val="00A333FD"/>
    <w:rsid w:val="00A33476"/>
    <w:rsid w:val="00A335F6"/>
    <w:rsid w:val="00A338DA"/>
    <w:rsid w:val="00A33A07"/>
    <w:rsid w:val="00A33AA1"/>
    <w:rsid w:val="00A340E6"/>
    <w:rsid w:val="00A34384"/>
    <w:rsid w:val="00A344A2"/>
    <w:rsid w:val="00A3461D"/>
    <w:rsid w:val="00A34BE3"/>
    <w:rsid w:val="00A34D8A"/>
    <w:rsid w:val="00A34FBA"/>
    <w:rsid w:val="00A359FD"/>
    <w:rsid w:val="00A35F0A"/>
    <w:rsid w:val="00A3622E"/>
    <w:rsid w:val="00A36817"/>
    <w:rsid w:val="00A36A54"/>
    <w:rsid w:val="00A36A95"/>
    <w:rsid w:val="00A36CC6"/>
    <w:rsid w:val="00A36DB6"/>
    <w:rsid w:val="00A374C0"/>
    <w:rsid w:val="00A37597"/>
    <w:rsid w:val="00A375F5"/>
    <w:rsid w:val="00A37A7F"/>
    <w:rsid w:val="00A37B58"/>
    <w:rsid w:val="00A40096"/>
    <w:rsid w:val="00A4070A"/>
    <w:rsid w:val="00A40B28"/>
    <w:rsid w:val="00A40BF9"/>
    <w:rsid w:val="00A4111C"/>
    <w:rsid w:val="00A412A9"/>
    <w:rsid w:val="00A41431"/>
    <w:rsid w:val="00A41599"/>
    <w:rsid w:val="00A416CC"/>
    <w:rsid w:val="00A417F5"/>
    <w:rsid w:val="00A41A7D"/>
    <w:rsid w:val="00A41B99"/>
    <w:rsid w:val="00A41E50"/>
    <w:rsid w:val="00A41F56"/>
    <w:rsid w:val="00A42036"/>
    <w:rsid w:val="00A4220F"/>
    <w:rsid w:val="00A4253D"/>
    <w:rsid w:val="00A4287E"/>
    <w:rsid w:val="00A43057"/>
    <w:rsid w:val="00A43125"/>
    <w:rsid w:val="00A43130"/>
    <w:rsid w:val="00A4325D"/>
    <w:rsid w:val="00A43282"/>
    <w:rsid w:val="00A4346F"/>
    <w:rsid w:val="00A43810"/>
    <w:rsid w:val="00A43CFC"/>
    <w:rsid w:val="00A43F5B"/>
    <w:rsid w:val="00A440C3"/>
    <w:rsid w:val="00A441ED"/>
    <w:rsid w:val="00A44257"/>
    <w:rsid w:val="00A44327"/>
    <w:rsid w:val="00A4445C"/>
    <w:rsid w:val="00A444CF"/>
    <w:rsid w:val="00A44700"/>
    <w:rsid w:val="00A44795"/>
    <w:rsid w:val="00A44AF9"/>
    <w:rsid w:val="00A44BC3"/>
    <w:rsid w:val="00A44BCB"/>
    <w:rsid w:val="00A44CB1"/>
    <w:rsid w:val="00A44D0B"/>
    <w:rsid w:val="00A44F79"/>
    <w:rsid w:val="00A45007"/>
    <w:rsid w:val="00A452C3"/>
    <w:rsid w:val="00A45647"/>
    <w:rsid w:val="00A4614E"/>
    <w:rsid w:val="00A462CF"/>
    <w:rsid w:val="00A46923"/>
    <w:rsid w:val="00A46988"/>
    <w:rsid w:val="00A46CEE"/>
    <w:rsid w:val="00A46DC0"/>
    <w:rsid w:val="00A46EE1"/>
    <w:rsid w:val="00A46FD5"/>
    <w:rsid w:val="00A471A4"/>
    <w:rsid w:val="00A47207"/>
    <w:rsid w:val="00A47669"/>
    <w:rsid w:val="00A478FE"/>
    <w:rsid w:val="00A47A5B"/>
    <w:rsid w:val="00A47A95"/>
    <w:rsid w:val="00A47B08"/>
    <w:rsid w:val="00A47B88"/>
    <w:rsid w:val="00A47C38"/>
    <w:rsid w:val="00A47DA6"/>
    <w:rsid w:val="00A500E7"/>
    <w:rsid w:val="00A5058E"/>
    <w:rsid w:val="00A508E8"/>
    <w:rsid w:val="00A509A4"/>
    <w:rsid w:val="00A50BBB"/>
    <w:rsid w:val="00A50CB0"/>
    <w:rsid w:val="00A50CDC"/>
    <w:rsid w:val="00A50E0F"/>
    <w:rsid w:val="00A51027"/>
    <w:rsid w:val="00A51153"/>
    <w:rsid w:val="00A5186A"/>
    <w:rsid w:val="00A51A06"/>
    <w:rsid w:val="00A51F9C"/>
    <w:rsid w:val="00A5230A"/>
    <w:rsid w:val="00A5247A"/>
    <w:rsid w:val="00A52530"/>
    <w:rsid w:val="00A52716"/>
    <w:rsid w:val="00A52A4A"/>
    <w:rsid w:val="00A52A8F"/>
    <w:rsid w:val="00A52BF2"/>
    <w:rsid w:val="00A52CBF"/>
    <w:rsid w:val="00A52F49"/>
    <w:rsid w:val="00A52FD4"/>
    <w:rsid w:val="00A5311E"/>
    <w:rsid w:val="00A531E2"/>
    <w:rsid w:val="00A53651"/>
    <w:rsid w:val="00A53707"/>
    <w:rsid w:val="00A53A7E"/>
    <w:rsid w:val="00A53C4D"/>
    <w:rsid w:val="00A53D45"/>
    <w:rsid w:val="00A54476"/>
    <w:rsid w:val="00A5450C"/>
    <w:rsid w:val="00A5468E"/>
    <w:rsid w:val="00A54727"/>
    <w:rsid w:val="00A54A9E"/>
    <w:rsid w:val="00A54BE5"/>
    <w:rsid w:val="00A55183"/>
    <w:rsid w:val="00A551C6"/>
    <w:rsid w:val="00A55206"/>
    <w:rsid w:val="00A556F0"/>
    <w:rsid w:val="00A55A39"/>
    <w:rsid w:val="00A55B11"/>
    <w:rsid w:val="00A55BBB"/>
    <w:rsid w:val="00A55E04"/>
    <w:rsid w:val="00A55E7B"/>
    <w:rsid w:val="00A55F35"/>
    <w:rsid w:val="00A55F45"/>
    <w:rsid w:val="00A5609F"/>
    <w:rsid w:val="00A5664A"/>
    <w:rsid w:val="00A56B9A"/>
    <w:rsid w:val="00A56C5C"/>
    <w:rsid w:val="00A56C6F"/>
    <w:rsid w:val="00A56E59"/>
    <w:rsid w:val="00A572CD"/>
    <w:rsid w:val="00A57675"/>
    <w:rsid w:val="00A576AE"/>
    <w:rsid w:val="00A57915"/>
    <w:rsid w:val="00A57DED"/>
    <w:rsid w:val="00A57E3B"/>
    <w:rsid w:val="00A57F74"/>
    <w:rsid w:val="00A6011A"/>
    <w:rsid w:val="00A603B1"/>
    <w:rsid w:val="00A60746"/>
    <w:rsid w:val="00A60B16"/>
    <w:rsid w:val="00A61512"/>
    <w:rsid w:val="00A61C22"/>
    <w:rsid w:val="00A61C5F"/>
    <w:rsid w:val="00A61D4B"/>
    <w:rsid w:val="00A61FB6"/>
    <w:rsid w:val="00A62760"/>
    <w:rsid w:val="00A6290D"/>
    <w:rsid w:val="00A62A0A"/>
    <w:rsid w:val="00A62B46"/>
    <w:rsid w:val="00A62DA8"/>
    <w:rsid w:val="00A63327"/>
    <w:rsid w:val="00A6337E"/>
    <w:rsid w:val="00A63D65"/>
    <w:rsid w:val="00A64086"/>
    <w:rsid w:val="00A64342"/>
    <w:rsid w:val="00A6510E"/>
    <w:rsid w:val="00A653B8"/>
    <w:rsid w:val="00A656BF"/>
    <w:rsid w:val="00A65795"/>
    <w:rsid w:val="00A65BC0"/>
    <w:rsid w:val="00A65D22"/>
    <w:rsid w:val="00A65DCA"/>
    <w:rsid w:val="00A65F6C"/>
    <w:rsid w:val="00A65FCD"/>
    <w:rsid w:val="00A66056"/>
    <w:rsid w:val="00A66200"/>
    <w:rsid w:val="00A66466"/>
    <w:rsid w:val="00A665ED"/>
    <w:rsid w:val="00A6666F"/>
    <w:rsid w:val="00A66676"/>
    <w:rsid w:val="00A667C9"/>
    <w:rsid w:val="00A66E91"/>
    <w:rsid w:val="00A67BC8"/>
    <w:rsid w:val="00A67CAE"/>
    <w:rsid w:val="00A67E8F"/>
    <w:rsid w:val="00A70172"/>
    <w:rsid w:val="00A707DA"/>
    <w:rsid w:val="00A708AD"/>
    <w:rsid w:val="00A70B17"/>
    <w:rsid w:val="00A7130A"/>
    <w:rsid w:val="00A713A1"/>
    <w:rsid w:val="00A71A56"/>
    <w:rsid w:val="00A71B71"/>
    <w:rsid w:val="00A71CAB"/>
    <w:rsid w:val="00A720C2"/>
    <w:rsid w:val="00A722B0"/>
    <w:rsid w:val="00A726F5"/>
    <w:rsid w:val="00A727AD"/>
    <w:rsid w:val="00A7313D"/>
    <w:rsid w:val="00A7380E"/>
    <w:rsid w:val="00A738A8"/>
    <w:rsid w:val="00A739F1"/>
    <w:rsid w:val="00A73BD7"/>
    <w:rsid w:val="00A73E6E"/>
    <w:rsid w:val="00A74003"/>
    <w:rsid w:val="00A74509"/>
    <w:rsid w:val="00A74BF6"/>
    <w:rsid w:val="00A74BF7"/>
    <w:rsid w:val="00A74C0E"/>
    <w:rsid w:val="00A74D31"/>
    <w:rsid w:val="00A74D98"/>
    <w:rsid w:val="00A74F39"/>
    <w:rsid w:val="00A75147"/>
    <w:rsid w:val="00A7528B"/>
    <w:rsid w:val="00A753BA"/>
    <w:rsid w:val="00A75483"/>
    <w:rsid w:val="00A7551F"/>
    <w:rsid w:val="00A7558A"/>
    <w:rsid w:val="00A759A5"/>
    <w:rsid w:val="00A75BBD"/>
    <w:rsid w:val="00A75C73"/>
    <w:rsid w:val="00A7609E"/>
    <w:rsid w:val="00A762D9"/>
    <w:rsid w:val="00A76378"/>
    <w:rsid w:val="00A76636"/>
    <w:rsid w:val="00A767AF"/>
    <w:rsid w:val="00A7686E"/>
    <w:rsid w:val="00A7698D"/>
    <w:rsid w:val="00A76D3F"/>
    <w:rsid w:val="00A76E1F"/>
    <w:rsid w:val="00A76E81"/>
    <w:rsid w:val="00A76F3C"/>
    <w:rsid w:val="00A7702B"/>
    <w:rsid w:val="00A770CA"/>
    <w:rsid w:val="00A771BA"/>
    <w:rsid w:val="00A77204"/>
    <w:rsid w:val="00A77494"/>
    <w:rsid w:val="00A7752F"/>
    <w:rsid w:val="00A77562"/>
    <w:rsid w:val="00A77761"/>
    <w:rsid w:val="00A77779"/>
    <w:rsid w:val="00A777F9"/>
    <w:rsid w:val="00A77C9A"/>
    <w:rsid w:val="00A77CAB"/>
    <w:rsid w:val="00A77D03"/>
    <w:rsid w:val="00A77EB0"/>
    <w:rsid w:val="00A8026C"/>
    <w:rsid w:val="00A80496"/>
    <w:rsid w:val="00A807E4"/>
    <w:rsid w:val="00A80806"/>
    <w:rsid w:val="00A80929"/>
    <w:rsid w:val="00A80B07"/>
    <w:rsid w:val="00A80B82"/>
    <w:rsid w:val="00A8132E"/>
    <w:rsid w:val="00A81802"/>
    <w:rsid w:val="00A81A6D"/>
    <w:rsid w:val="00A81C8C"/>
    <w:rsid w:val="00A8224E"/>
    <w:rsid w:val="00A82682"/>
    <w:rsid w:val="00A829D3"/>
    <w:rsid w:val="00A82B89"/>
    <w:rsid w:val="00A82D68"/>
    <w:rsid w:val="00A8316F"/>
    <w:rsid w:val="00A8322E"/>
    <w:rsid w:val="00A8323B"/>
    <w:rsid w:val="00A836D5"/>
    <w:rsid w:val="00A8379A"/>
    <w:rsid w:val="00A83F46"/>
    <w:rsid w:val="00A8411B"/>
    <w:rsid w:val="00A841DA"/>
    <w:rsid w:val="00A842D9"/>
    <w:rsid w:val="00A844D0"/>
    <w:rsid w:val="00A845A7"/>
    <w:rsid w:val="00A845D4"/>
    <w:rsid w:val="00A846B7"/>
    <w:rsid w:val="00A84925"/>
    <w:rsid w:val="00A84AC4"/>
    <w:rsid w:val="00A84B1D"/>
    <w:rsid w:val="00A84C3C"/>
    <w:rsid w:val="00A84D8D"/>
    <w:rsid w:val="00A84FB4"/>
    <w:rsid w:val="00A85501"/>
    <w:rsid w:val="00A858B1"/>
    <w:rsid w:val="00A85B1F"/>
    <w:rsid w:val="00A85D18"/>
    <w:rsid w:val="00A86123"/>
    <w:rsid w:val="00A86285"/>
    <w:rsid w:val="00A868BC"/>
    <w:rsid w:val="00A86A03"/>
    <w:rsid w:val="00A86BCB"/>
    <w:rsid w:val="00A86CAC"/>
    <w:rsid w:val="00A86ED1"/>
    <w:rsid w:val="00A86FEB"/>
    <w:rsid w:val="00A87097"/>
    <w:rsid w:val="00A8721D"/>
    <w:rsid w:val="00A874BB"/>
    <w:rsid w:val="00A87556"/>
    <w:rsid w:val="00A87B38"/>
    <w:rsid w:val="00A87CA3"/>
    <w:rsid w:val="00A87DDF"/>
    <w:rsid w:val="00A90266"/>
    <w:rsid w:val="00A9062C"/>
    <w:rsid w:val="00A90D9E"/>
    <w:rsid w:val="00A90F94"/>
    <w:rsid w:val="00A9164E"/>
    <w:rsid w:val="00A91A0E"/>
    <w:rsid w:val="00A91D64"/>
    <w:rsid w:val="00A920D8"/>
    <w:rsid w:val="00A9258B"/>
    <w:rsid w:val="00A925D4"/>
    <w:rsid w:val="00A92757"/>
    <w:rsid w:val="00A92A9C"/>
    <w:rsid w:val="00A92E0C"/>
    <w:rsid w:val="00A93603"/>
    <w:rsid w:val="00A93D80"/>
    <w:rsid w:val="00A94052"/>
    <w:rsid w:val="00A94074"/>
    <w:rsid w:val="00A94238"/>
    <w:rsid w:val="00A94755"/>
    <w:rsid w:val="00A94D3B"/>
    <w:rsid w:val="00A9537A"/>
    <w:rsid w:val="00A9553A"/>
    <w:rsid w:val="00A957E6"/>
    <w:rsid w:val="00A95863"/>
    <w:rsid w:val="00A963A9"/>
    <w:rsid w:val="00A96428"/>
    <w:rsid w:val="00A9647B"/>
    <w:rsid w:val="00A9679B"/>
    <w:rsid w:val="00A96CB2"/>
    <w:rsid w:val="00A96DB9"/>
    <w:rsid w:val="00A97281"/>
    <w:rsid w:val="00A97416"/>
    <w:rsid w:val="00A974D8"/>
    <w:rsid w:val="00A9761B"/>
    <w:rsid w:val="00A97BEC"/>
    <w:rsid w:val="00AA0016"/>
    <w:rsid w:val="00AA0041"/>
    <w:rsid w:val="00AA0224"/>
    <w:rsid w:val="00AA0D6A"/>
    <w:rsid w:val="00AA0F7C"/>
    <w:rsid w:val="00AA1340"/>
    <w:rsid w:val="00AA1360"/>
    <w:rsid w:val="00AA1437"/>
    <w:rsid w:val="00AA172D"/>
    <w:rsid w:val="00AA194F"/>
    <w:rsid w:val="00AA1BF6"/>
    <w:rsid w:val="00AA1C33"/>
    <w:rsid w:val="00AA1FA5"/>
    <w:rsid w:val="00AA272E"/>
    <w:rsid w:val="00AA2753"/>
    <w:rsid w:val="00AA2AC4"/>
    <w:rsid w:val="00AA2BE2"/>
    <w:rsid w:val="00AA2FB0"/>
    <w:rsid w:val="00AA3227"/>
    <w:rsid w:val="00AA32DA"/>
    <w:rsid w:val="00AA3461"/>
    <w:rsid w:val="00AA37AD"/>
    <w:rsid w:val="00AA3B31"/>
    <w:rsid w:val="00AA3CD7"/>
    <w:rsid w:val="00AA3DB4"/>
    <w:rsid w:val="00AA3E1C"/>
    <w:rsid w:val="00AA418E"/>
    <w:rsid w:val="00AA4235"/>
    <w:rsid w:val="00AA427F"/>
    <w:rsid w:val="00AA45AD"/>
    <w:rsid w:val="00AA45C4"/>
    <w:rsid w:val="00AA4702"/>
    <w:rsid w:val="00AA4721"/>
    <w:rsid w:val="00AA4A1F"/>
    <w:rsid w:val="00AA4BDD"/>
    <w:rsid w:val="00AA4EA6"/>
    <w:rsid w:val="00AA5833"/>
    <w:rsid w:val="00AA5A61"/>
    <w:rsid w:val="00AA5B3E"/>
    <w:rsid w:val="00AA5BB3"/>
    <w:rsid w:val="00AA5BFB"/>
    <w:rsid w:val="00AA5EBA"/>
    <w:rsid w:val="00AA5F4F"/>
    <w:rsid w:val="00AA6755"/>
    <w:rsid w:val="00AA679A"/>
    <w:rsid w:val="00AA683A"/>
    <w:rsid w:val="00AA6E1E"/>
    <w:rsid w:val="00AA7DD5"/>
    <w:rsid w:val="00AB0C7A"/>
    <w:rsid w:val="00AB1128"/>
    <w:rsid w:val="00AB120B"/>
    <w:rsid w:val="00AB1819"/>
    <w:rsid w:val="00AB1CF4"/>
    <w:rsid w:val="00AB2293"/>
    <w:rsid w:val="00AB22E7"/>
    <w:rsid w:val="00AB231E"/>
    <w:rsid w:val="00AB23C6"/>
    <w:rsid w:val="00AB2567"/>
    <w:rsid w:val="00AB25FE"/>
    <w:rsid w:val="00AB269D"/>
    <w:rsid w:val="00AB2C00"/>
    <w:rsid w:val="00AB31E5"/>
    <w:rsid w:val="00AB34E8"/>
    <w:rsid w:val="00AB363A"/>
    <w:rsid w:val="00AB37C2"/>
    <w:rsid w:val="00AB394C"/>
    <w:rsid w:val="00AB3971"/>
    <w:rsid w:val="00AB3B69"/>
    <w:rsid w:val="00AB3F12"/>
    <w:rsid w:val="00AB40D3"/>
    <w:rsid w:val="00AB49A1"/>
    <w:rsid w:val="00AB4E1B"/>
    <w:rsid w:val="00AB5002"/>
    <w:rsid w:val="00AB51BD"/>
    <w:rsid w:val="00AB5245"/>
    <w:rsid w:val="00AB546F"/>
    <w:rsid w:val="00AB5613"/>
    <w:rsid w:val="00AB5937"/>
    <w:rsid w:val="00AB59A8"/>
    <w:rsid w:val="00AB5AEA"/>
    <w:rsid w:val="00AB5DA0"/>
    <w:rsid w:val="00AB5F99"/>
    <w:rsid w:val="00AB600D"/>
    <w:rsid w:val="00AB68B8"/>
    <w:rsid w:val="00AB6916"/>
    <w:rsid w:val="00AB6BB5"/>
    <w:rsid w:val="00AB6C82"/>
    <w:rsid w:val="00AB72F7"/>
    <w:rsid w:val="00AB750C"/>
    <w:rsid w:val="00AB765E"/>
    <w:rsid w:val="00AB7A74"/>
    <w:rsid w:val="00AB7A79"/>
    <w:rsid w:val="00AC0794"/>
    <w:rsid w:val="00AC0B26"/>
    <w:rsid w:val="00AC0B2F"/>
    <w:rsid w:val="00AC0C14"/>
    <w:rsid w:val="00AC129A"/>
    <w:rsid w:val="00AC135B"/>
    <w:rsid w:val="00AC1450"/>
    <w:rsid w:val="00AC17BB"/>
    <w:rsid w:val="00AC1933"/>
    <w:rsid w:val="00AC1947"/>
    <w:rsid w:val="00AC195F"/>
    <w:rsid w:val="00AC1BB0"/>
    <w:rsid w:val="00AC1C16"/>
    <w:rsid w:val="00AC1D24"/>
    <w:rsid w:val="00AC21C0"/>
    <w:rsid w:val="00AC2511"/>
    <w:rsid w:val="00AC2998"/>
    <w:rsid w:val="00AC29C5"/>
    <w:rsid w:val="00AC2AC8"/>
    <w:rsid w:val="00AC2EE2"/>
    <w:rsid w:val="00AC2F29"/>
    <w:rsid w:val="00AC3023"/>
    <w:rsid w:val="00AC3178"/>
    <w:rsid w:val="00AC3197"/>
    <w:rsid w:val="00AC329A"/>
    <w:rsid w:val="00AC345E"/>
    <w:rsid w:val="00AC371C"/>
    <w:rsid w:val="00AC3A7B"/>
    <w:rsid w:val="00AC3FE9"/>
    <w:rsid w:val="00AC400F"/>
    <w:rsid w:val="00AC40AC"/>
    <w:rsid w:val="00AC4966"/>
    <w:rsid w:val="00AC4B01"/>
    <w:rsid w:val="00AC4BE9"/>
    <w:rsid w:val="00AC520F"/>
    <w:rsid w:val="00AC5371"/>
    <w:rsid w:val="00AC5404"/>
    <w:rsid w:val="00AC5479"/>
    <w:rsid w:val="00AC561F"/>
    <w:rsid w:val="00AC57C1"/>
    <w:rsid w:val="00AC5A49"/>
    <w:rsid w:val="00AC5CC6"/>
    <w:rsid w:val="00AC5DBF"/>
    <w:rsid w:val="00AC6372"/>
    <w:rsid w:val="00AC65E7"/>
    <w:rsid w:val="00AC6760"/>
    <w:rsid w:val="00AC68CE"/>
    <w:rsid w:val="00AC6F03"/>
    <w:rsid w:val="00AC7247"/>
    <w:rsid w:val="00AC7372"/>
    <w:rsid w:val="00AC7612"/>
    <w:rsid w:val="00AC76E5"/>
    <w:rsid w:val="00AC7854"/>
    <w:rsid w:val="00AC7E41"/>
    <w:rsid w:val="00AD00D8"/>
    <w:rsid w:val="00AD0539"/>
    <w:rsid w:val="00AD06A0"/>
    <w:rsid w:val="00AD11B2"/>
    <w:rsid w:val="00AD17AA"/>
    <w:rsid w:val="00AD18AF"/>
    <w:rsid w:val="00AD203C"/>
    <w:rsid w:val="00AD24CB"/>
    <w:rsid w:val="00AD2544"/>
    <w:rsid w:val="00AD25D6"/>
    <w:rsid w:val="00AD26E3"/>
    <w:rsid w:val="00AD282F"/>
    <w:rsid w:val="00AD2AD6"/>
    <w:rsid w:val="00AD2E1D"/>
    <w:rsid w:val="00AD301B"/>
    <w:rsid w:val="00AD3959"/>
    <w:rsid w:val="00AD39DA"/>
    <w:rsid w:val="00AD4151"/>
    <w:rsid w:val="00AD41E6"/>
    <w:rsid w:val="00AD41FE"/>
    <w:rsid w:val="00AD43B3"/>
    <w:rsid w:val="00AD483D"/>
    <w:rsid w:val="00AD4966"/>
    <w:rsid w:val="00AD4CEA"/>
    <w:rsid w:val="00AD4F46"/>
    <w:rsid w:val="00AD4FEA"/>
    <w:rsid w:val="00AD50F3"/>
    <w:rsid w:val="00AD5234"/>
    <w:rsid w:val="00AD54BA"/>
    <w:rsid w:val="00AD5659"/>
    <w:rsid w:val="00AD6680"/>
    <w:rsid w:val="00AD6712"/>
    <w:rsid w:val="00AD6BBA"/>
    <w:rsid w:val="00AD6FD6"/>
    <w:rsid w:val="00AD7153"/>
    <w:rsid w:val="00AD74CA"/>
    <w:rsid w:val="00AD7633"/>
    <w:rsid w:val="00AD7792"/>
    <w:rsid w:val="00AD7F1A"/>
    <w:rsid w:val="00AE00F2"/>
    <w:rsid w:val="00AE031E"/>
    <w:rsid w:val="00AE0360"/>
    <w:rsid w:val="00AE03E3"/>
    <w:rsid w:val="00AE05FA"/>
    <w:rsid w:val="00AE0869"/>
    <w:rsid w:val="00AE0913"/>
    <w:rsid w:val="00AE0D5C"/>
    <w:rsid w:val="00AE1A02"/>
    <w:rsid w:val="00AE1A1D"/>
    <w:rsid w:val="00AE1A98"/>
    <w:rsid w:val="00AE2D41"/>
    <w:rsid w:val="00AE2DC0"/>
    <w:rsid w:val="00AE3358"/>
    <w:rsid w:val="00AE37B1"/>
    <w:rsid w:val="00AE392B"/>
    <w:rsid w:val="00AE3E63"/>
    <w:rsid w:val="00AE4190"/>
    <w:rsid w:val="00AE477B"/>
    <w:rsid w:val="00AE4878"/>
    <w:rsid w:val="00AE48B5"/>
    <w:rsid w:val="00AE4B35"/>
    <w:rsid w:val="00AE4CE2"/>
    <w:rsid w:val="00AE4FED"/>
    <w:rsid w:val="00AE5045"/>
    <w:rsid w:val="00AE50C4"/>
    <w:rsid w:val="00AE52FF"/>
    <w:rsid w:val="00AE53FA"/>
    <w:rsid w:val="00AE5476"/>
    <w:rsid w:val="00AE57F3"/>
    <w:rsid w:val="00AE5A14"/>
    <w:rsid w:val="00AE5E93"/>
    <w:rsid w:val="00AE608C"/>
    <w:rsid w:val="00AE62B3"/>
    <w:rsid w:val="00AE6497"/>
    <w:rsid w:val="00AE69D5"/>
    <w:rsid w:val="00AE6A13"/>
    <w:rsid w:val="00AE6D1F"/>
    <w:rsid w:val="00AE70AF"/>
    <w:rsid w:val="00AE71AA"/>
    <w:rsid w:val="00AE71C8"/>
    <w:rsid w:val="00AE746C"/>
    <w:rsid w:val="00AE76FE"/>
    <w:rsid w:val="00AE7922"/>
    <w:rsid w:val="00AE7E32"/>
    <w:rsid w:val="00AE7E83"/>
    <w:rsid w:val="00AE7F66"/>
    <w:rsid w:val="00AF04D7"/>
    <w:rsid w:val="00AF06C7"/>
    <w:rsid w:val="00AF0B71"/>
    <w:rsid w:val="00AF11CD"/>
    <w:rsid w:val="00AF195B"/>
    <w:rsid w:val="00AF1A8A"/>
    <w:rsid w:val="00AF1BFB"/>
    <w:rsid w:val="00AF1E5E"/>
    <w:rsid w:val="00AF26AB"/>
    <w:rsid w:val="00AF2C1B"/>
    <w:rsid w:val="00AF3030"/>
    <w:rsid w:val="00AF326C"/>
    <w:rsid w:val="00AF353D"/>
    <w:rsid w:val="00AF35C4"/>
    <w:rsid w:val="00AF410C"/>
    <w:rsid w:val="00AF4402"/>
    <w:rsid w:val="00AF4444"/>
    <w:rsid w:val="00AF462A"/>
    <w:rsid w:val="00AF4967"/>
    <w:rsid w:val="00AF4E84"/>
    <w:rsid w:val="00AF54DC"/>
    <w:rsid w:val="00AF5689"/>
    <w:rsid w:val="00AF5693"/>
    <w:rsid w:val="00AF57BB"/>
    <w:rsid w:val="00AF5977"/>
    <w:rsid w:val="00AF5AAF"/>
    <w:rsid w:val="00AF5ABF"/>
    <w:rsid w:val="00AF5E37"/>
    <w:rsid w:val="00AF61C4"/>
    <w:rsid w:val="00AF6334"/>
    <w:rsid w:val="00AF63CF"/>
    <w:rsid w:val="00AF68EA"/>
    <w:rsid w:val="00AF6AA8"/>
    <w:rsid w:val="00AF6D7B"/>
    <w:rsid w:val="00AF73B4"/>
    <w:rsid w:val="00AF74A7"/>
    <w:rsid w:val="00AF75BF"/>
    <w:rsid w:val="00AF7754"/>
    <w:rsid w:val="00AF7FCB"/>
    <w:rsid w:val="00B002C1"/>
    <w:rsid w:val="00B008CE"/>
    <w:rsid w:val="00B00977"/>
    <w:rsid w:val="00B00A13"/>
    <w:rsid w:val="00B00BC3"/>
    <w:rsid w:val="00B00E15"/>
    <w:rsid w:val="00B00F69"/>
    <w:rsid w:val="00B01345"/>
    <w:rsid w:val="00B0146F"/>
    <w:rsid w:val="00B0177C"/>
    <w:rsid w:val="00B01F68"/>
    <w:rsid w:val="00B0205F"/>
    <w:rsid w:val="00B02545"/>
    <w:rsid w:val="00B02573"/>
    <w:rsid w:val="00B025B5"/>
    <w:rsid w:val="00B025D5"/>
    <w:rsid w:val="00B02866"/>
    <w:rsid w:val="00B02893"/>
    <w:rsid w:val="00B02D3D"/>
    <w:rsid w:val="00B02EB6"/>
    <w:rsid w:val="00B03728"/>
    <w:rsid w:val="00B03A4D"/>
    <w:rsid w:val="00B041BB"/>
    <w:rsid w:val="00B042B8"/>
    <w:rsid w:val="00B047AF"/>
    <w:rsid w:val="00B048C8"/>
    <w:rsid w:val="00B049AA"/>
    <w:rsid w:val="00B04FEA"/>
    <w:rsid w:val="00B0559F"/>
    <w:rsid w:val="00B05B91"/>
    <w:rsid w:val="00B05D34"/>
    <w:rsid w:val="00B0630A"/>
    <w:rsid w:val="00B06325"/>
    <w:rsid w:val="00B06575"/>
    <w:rsid w:val="00B06842"/>
    <w:rsid w:val="00B06E27"/>
    <w:rsid w:val="00B07147"/>
    <w:rsid w:val="00B071C3"/>
    <w:rsid w:val="00B072C0"/>
    <w:rsid w:val="00B07614"/>
    <w:rsid w:val="00B07698"/>
    <w:rsid w:val="00B078BB"/>
    <w:rsid w:val="00B0798E"/>
    <w:rsid w:val="00B07B12"/>
    <w:rsid w:val="00B07E71"/>
    <w:rsid w:val="00B100B4"/>
    <w:rsid w:val="00B10610"/>
    <w:rsid w:val="00B10679"/>
    <w:rsid w:val="00B10BCE"/>
    <w:rsid w:val="00B10D55"/>
    <w:rsid w:val="00B10FD2"/>
    <w:rsid w:val="00B111C4"/>
    <w:rsid w:val="00B11207"/>
    <w:rsid w:val="00B114D0"/>
    <w:rsid w:val="00B1152F"/>
    <w:rsid w:val="00B1157C"/>
    <w:rsid w:val="00B116F4"/>
    <w:rsid w:val="00B11DD4"/>
    <w:rsid w:val="00B11F3C"/>
    <w:rsid w:val="00B1223F"/>
    <w:rsid w:val="00B122FA"/>
    <w:rsid w:val="00B12313"/>
    <w:rsid w:val="00B12890"/>
    <w:rsid w:val="00B12AED"/>
    <w:rsid w:val="00B12BD7"/>
    <w:rsid w:val="00B12F00"/>
    <w:rsid w:val="00B1378E"/>
    <w:rsid w:val="00B13B17"/>
    <w:rsid w:val="00B13C83"/>
    <w:rsid w:val="00B13CA5"/>
    <w:rsid w:val="00B13FD8"/>
    <w:rsid w:val="00B1463A"/>
    <w:rsid w:val="00B14C48"/>
    <w:rsid w:val="00B14C4A"/>
    <w:rsid w:val="00B15109"/>
    <w:rsid w:val="00B154AA"/>
    <w:rsid w:val="00B15557"/>
    <w:rsid w:val="00B15B1A"/>
    <w:rsid w:val="00B15B55"/>
    <w:rsid w:val="00B15BD2"/>
    <w:rsid w:val="00B15CF5"/>
    <w:rsid w:val="00B15DE3"/>
    <w:rsid w:val="00B15E73"/>
    <w:rsid w:val="00B15ED7"/>
    <w:rsid w:val="00B16104"/>
    <w:rsid w:val="00B163EE"/>
    <w:rsid w:val="00B165ED"/>
    <w:rsid w:val="00B166C3"/>
    <w:rsid w:val="00B167A4"/>
    <w:rsid w:val="00B1686F"/>
    <w:rsid w:val="00B1696C"/>
    <w:rsid w:val="00B16BC3"/>
    <w:rsid w:val="00B16ECD"/>
    <w:rsid w:val="00B16F8A"/>
    <w:rsid w:val="00B1701B"/>
    <w:rsid w:val="00B1718E"/>
    <w:rsid w:val="00B1728A"/>
    <w:rsid w:val="00B17AF2"/>
    <w:rsid w:val="00B17D2F"/>
    <w:rsid w:val="00B17EAC"/>
    <w:rsid w:val="00B17F5A"/>
    <w:rsid w:val="00B2035D"/>
    <w:rsid w:val="00B204ED"/>
    <w:rsid w:val="00B205CE"/>
    <w:rsid w:val="00B20689"/>
    <w:rsid w:val="00B2077F"/>
    <w:rsid w:val="00B2098D"/>
    <w:rsid w:val="00B20F25"/>
    <w:rsid w:val="00B20F6D"/>
    <w:rsid w:val="00B212C1"/>
    <w:rsid w:val="00B2138E"/>
    <w:rsid w:val="00B21469"/>
    <w:rsid w:val="00B2165F"/>
    <w:rsid w:val="00B217E6"/>
    <w:rsid w:val="00B21CCA"/>
    <w:rsid w:val="00B21DFA"/>
    <w:rsid w:val="00B22260"/>
    <w:rsid w:val="00B223C9"/>
    <w:rsid w:val="00B2240E"/>
    <w:rsid w:val="00B22596"/>
    <w:rsid w:val="00B22D80"/>
    <w:rsid w:val="00B22F1D"/>
    <w:rsid w:val="00B22F51"/>
    <w:rsid w:val="00B22FA8"/>
    <w:rsid w:val="00B230C9"/>
    <w:rsid w:val="00B231A7"/>
    <w:rsid w:val="00B2374A"/>
    <w:rsid w:val="00B23757"/>
    <w:rsid w:val="00B238CD"/>
    <w:rsid w:val="00B23A80"/>
    <w:rsid w:val="00B23D0E"/>
    <w:rsid w:val="00B24010"/>
    <w:rsid w:val="00B2458A"/>
    <w:rsid w:val="00B24970"/>
    <w:rsid w:val="00B24C5B"/>
    <w:rsid w:val="00B24F48"/>
    <w:rsid w:val="00B25212"/>
    <w:rsid w:val="00B252E0"/>
    <w:rsid w:val="00B253DD"/>
    <w:rsid w:val="00B2573D"/>
    <w:rsid w:val="00B25947"/>
    <w:rsid w:val="00B25A5D"/>
    <w:rsid w:val="00B25DC2"/>
    <w:rsid w:val="00B25DE8"/>
    <w:rsid w:val="00B25EF1"/>
    <w:rsid w:val="00B26017"/>
    <w:rsid w:val="00B2639B"/>
    <w:rsid w:val="00B26919"/>
    <w:rsid w:val="00B26A37"/>
    <w:rsid w:val="00B26B2D"/>
    <w:rsid w:val="00B26E45"/>
    <w:rsid w:val="00B26E7A"/>
    <w:rsid w:val="00B27199"/>
    <w:rsid w:val="00B2745F"/>
    <w:rsid w:val="00B27736"/>
    <w:rsid w:val="00B2785B"/>
    <w:rsid w:val="00B27A57"/>
    <w:rsid w:val="00B3028E"/>
    <w:rsid w:val="00B30DCE"/>
    <w:rsid w:val="00B30EB8"/>
    <w:rsid w:val="00B30FDF"/>
    <w:rsid w:val="00B31536"/>
    <w:rsid w:val="00B31571"/>
    <w:rsid w:val="00B3180F"/>
    <w:rsid w:val="00B31836"/>
    <w:rsid w:val="00B31AB9"/>
    <w:rsid w:val="00B31CF2"/>
    <w:rsid w:val="00B3213B"/>
    <w:rsid w:val="00B32428"/>
    <w:rsid w:val="00B32485"/>
    <w:rsid w:val="00B324E5"/>
    <w:rsid w:val="00B32A00"/>
    <w:rsid w:val="00B32E2B"/>
    <w:rsid w:val="00B33259"/>
    <w:rsid w:val="00B337EA"/>
    <w:rsid w:val="00B338F4"/>
    <w:rsid w:val="00B33AC0"/>
    <w:rsid w:val="00B33B51"/>
    <w:rsid w:val="00B3409D"/>
    <w:rsid w:val="00B340D2"/>
    <w:rsid w:val="00B34191"/>
    <w:rsid w:val="00B346D2"/>
    <w:rsid w:val="00B348E3"/>
    <w:rsid w:val="00B34ACB"/>
    <w:rsid w:val="00B34B9D"/>
    <w:rsid w:val="00B34DDC"/>
    <w:rsid w:val="00B35137"/>
    <w:rsid w:val="00B3580C"/>
    <w:rsid w:val="00B358DA"/>
    <w:rsid w:val="00B35932"/>
    <w:rsid w:val="00B35A6B"/>
    <w:rsid w:val="00B35CDD"/>
    <w:rsid w:val="00B36028"/>
    <w:rsid w:val="00B36146"/>
    <w:rsid w:val="00B362B6"/>
    <w:rsid w:val="00B3651C"/>
    <w:rsid w:val="00B36A8D"/>
    <w:rsid w:val="00B36AAA"/>
    <w:rsid w:val="00B36DF7"/>
    <w:rsid w:val="00B37159"/>
    <w:rsid w:val="00B374C0"/>
    <w:rsid w:val="00B375E1"/>
    <w:rsid w:val="00B376F2"/>
    <w:rsid w:val="00B37AB7"/>
    <w:rsid w:val="00B37E77"/>
    <w:rsid w:val="00B40121"/>
    <w:rsid w:val="00B4054E"/>
    <w:rsid w:val="00B4069C"/>
    <w:rsid w:val="00B409E0"/>
    <w:rsid w:val="00B40BE2"/>
    <w:rsid w:val="00B41226"/>
    <w:rsid w:val="00B41770"/>
    <w:rsid w:val="00B4192B"/>
    <w:rsid w:val="00B41B81"/>
    <w:rsid w:val="00B41C74"/>
    <w:rsid w:val="00B41CF7"/>
    <w:rsid w:val="00B41DD5"/>
    <w:rsid w:val="00B4205E"/>
    <w:rsid w:val="00B421A5"/>
    <w:rsid w:val="00B4257E"/>
    <w:rsid w:val="00B426C9"/>
    <w:rsid w:val="00B43072"/>
    <w:rsid w:val="00B432B1"/>
    <w:rsid w:val="00B43368"/>
    <w:rsid w:val="00B4383C"/>
    <w:rsid w:val="00B439D5"/>
    <w:rsid w:val="00B43A90"/>
    <w:rsid w:val="00B43AF7"/>
    <w:rsid w:val="00B43C57"/>
    <w:rsid w:val="00B43DCF"/>
    <w:rsid w:val="00B4400C"/>
    <w:rsid w:val="00B44193"/>
    <w:rsid w:val="00B44AB9"/>
    <w:rsid w:val="00B44C17"/>
    <w:rsid w:val="00B44C6B"/>
    <w:rsid w:val="00B44FCF"/>
    <w:rsid w:val="00B44FF5"/>
    <w:rsid w:val="00B45118"/>
    <w:rsid w:val="00B45291"/>
    <w:rsid w:val="00B45665"/>
    <w:rsid w:val="00B45A3A"/>
    <w:rsid w:val="00B45E02"/>
    <w:rsid w:val="00B461A8"/>
    <w:rsid w:val="00B46388"/>
    <w:rsid w:val="00B463B7"/>
    <w:rsid w:val="00B468CC"/>
    <w:rsid w:val="00B47655"/>
    <w:rsid w:val="00B47CD8"/>
    <w:rsid w:val="00B502A0"/>
    <w:rsid w:val="00B506A7"/>
    <w:rsid w:val="00B509B0"/>
    <w:rsid w:val="00B511A1"/>
    <w:rsid w:val="00B51261"/>
    <w:rsid w:val="00B518C1"/>
    <w:rsid w:val="00B51E4B"/>
    <w:rsid w:val="00B51FD2"/>
    <w:rsid w:val="00B525C0"/>
    <w:rsid w:val="00B52BDE"/>
    <w:rsid w:val="00B541FB"/>
    <w:rsid w:val="00B54A41"/>
    <w:rsid w:val="00B54CEC"/>
    <w:rsid w:val="00B54FF1"/>
    <w:rsid w:val="00B55073"/>
    <w:rsid w:val="00B555FE"/>
    <w:rsid w:val="00B55A4E"/>
    <w:rsid w:val="00B55BAB"/>
    <w:rsid w:val="00B55C76"/>
    <w:rsid w:val="00B55D7A"/>
    <w:rsid w:val="00B55EFB"/>
    <w:rsid w:val="00B56056"/>
    <w:rsid w:val="00B568B8"/>
    <w:rsid w:val="00B57648"/>
    <w:rsid w:val="00B57E32"/>
    <w:rsid w:val="00B57FE7"/>
    <w:rsid w:val="00B6044A"/>
    <w:rsid w:val="00B607AB"/>
    <w:rsid w:val="00B607D3"/>
    <w:rsid w:val="00B607DB"/>
    <w:rsid w:val="00B60869"/>
    <w:rsid w:val="00B60985"/>
    <w:rsid w:val="00B60E25"/>
    <w:rsid w:val="00B60ED0"/>
    <w:rsid w:val="00B61B55"/>
    <w:rsid w:val="00B61F6D"/>
    <w:rsid w:val="00B6251B"/>
    <w:rsid w:val="00B62576"/>
    <w:rsid w:val="00B62C0D"/>
    <w:rsid w:val="00B62F06"/>
    <w:rsid w:val="00B63223"/>
    <w:rsid w:val="00B635C0"/>
    <w:rsid w:val="00B63C36"/>
    <w:rsid w:val="00B63D87"/>
    <w:rsid w:val="00B63FE4"/>
    <w:rsid w:val="00B64075"/>
    <w:rsid w:val="00B64432"/>
    <w:rsid w:val="00B6458A"/>
    <w:rsid w:val="00B645A5"/>
    <w:rsid w:val="00B64600"/>
    <w:rsid w:val="00B64A05"/>
    <w:rsid w:val="00B64B93"/>
    <w:rsid w:val="00B64C3C"/>
    <w:rsid w:val="00B65332"/>
    <w:rsid w:val="00B654E8"/>
    <w:rsid w:val="00B6572B"/>
    <w:rsid w:val="00B65886"/>
    <w:rsid w:val="00B658BD"/>
    <w:rsid w:val="00B669A2"/>
    <w:rsid w:val="00B66A7B"/>
    <w:rsid w:val="00B66C2B"/>
    <w:rsid w:val="00B66DF0"/>
    <w:rsid w:val="00B66E96"/>
    <w:rsid w:val="00B67072"/>
    <w:rsid w:val="00B6709E"/>
    <w:rsid w:val="00B670A8"/>
    <w:rsid w:val="00B6712F"/>
    <w:rsid w:val="00B672B5"/>
    <w:rsid w:val="00B6742F"/>
    <w:rsid w:val="00B675A0"/>
    <w:rsid w:val="00B677FA"/>
    <w:rsid w:val="00B6799B"/>
    <w:rsid w:val="00B67A3D"/>
    <w:rsid w:val="00B67CF9"/>
    <w:rsid w:val="00B7024B"/>
    <w:rsid w:val="00B70CBD"/>
    <w:rsid w:val="00B70F9B"/>
    <w:rsid w:val="00B711B2"/>
    <w:rsid w:val="00B714B1"/>
    <w:rsid w:val="00B717AF"/>
    <w:rsid w:val="00B717D3"/>
    <w:rsid w:val="00B71A36"/>
    <w:rsid w:val="00B71FFF"/>
    <w:rsid w:val="00B724EA"/>
    <w:rsid w:val="00B72971"/>
    <w:rsid w:val="00B72DC6"/>
    <w:rsid w:val="00B72F9F"/>
    <w:rsid w:val="00B731C6"/>
    <w:rsid w:val="00B7386C"/>
    <w:rsid w:val="00B7417D"/>
    <w:rsid w:val="00B74340"/>
    <w:rsid w:val="00B74541"/>
    <w:rsid w:val="00B749DE"/>
    <w:rsid w:val="00B74A7E"/>
    <w:rsid w:val="00B74E41"/>
    <w:rsid w:val="00B74F58"/>
    <w:rsid w:val="00B7530D"/>
    <w:rsid w:val="00B75338"/>
    <w:rsid w:val="00B756BD"/>
    <w:rsid w:val="00B759B9"/>
    <w:rsid w:val="00B75AD8"/>
    <w:rsid w:val="00B75E5C"/>
    <w:rsid w:val="00B75F23"/>
    <w:rsid w:val="00B75F45"/>
    <w:rsid w:val="00B760F1"/>
    <w:rsid w:val="00B76257"/>
    <w:rsid w:val="00B762DE"/>
    <w:rsid w:val="00B766DF"/>
    <w:rsid w:val="00B76C93"/>
    <w:rsid w:val="00B76DA5"/>
    <w:rsid w:val="00B76FD5"/>
    <w:rsid w:val="00B772A1"/>
    <w:rsid w:val="00B77B63"/>
    <w:rsid w:val="00B80118"/>
    <w:rsid w:val="00B80392"/>
    <w:rsid w:val="00B805D5"/>
    <w:rsid w:val="00B80704"/>
    <w:rsid w:val="00B80726"/>
    <w:rsid w:val="00B80741"/>
    <w:rsid w:val="00B80AE1"/>
    <w:rsid w:val="00B80C6A"/>
    <w:rsid w:val="00B81182"/>
    <w:rsid w:val="00B8120B"/>
    <w:rsid w:val="00B81329"/>
    <w:rsid w:val="00B81F59"/>
    <w:rsid w:val="00B81FFA"/>
    <w:rsid w:val="00B8210E"/>
    <w:rsid w:val="00B824BA"/>
    <w:rsid w:val="00B826D3"/>
    <w:rsid w:val="00B82858"/>
    <w:rsid w:val="00B82B06"/>
    <w:rsid w:val="00B83755"/>
    <w:rsid w:val="00B837A4"/>
    <w:rsid w:val="00B838B6"/>
    <w:rsid w:val="00B838CC"/>
    <w:rsid w:val="00B838CD"/>
    <w:rsid w:val="00B8396B"/>
    <w:rsid w:val="00B83A87"/>
    <w:rsid w:val="00B83B2A"/>
    <w:rsid w:val="00B83C48"/>
    <w:rsid w:val="00B83D0B"/>
    <w:rsid w:val="00B84044"/>
    <w:rsid w:val="00B840D2"/>
    <w:rsid w:val="00B84419"/>
    <w:rsid w:val="00B84577"/>
    <w:rsid w:val="00B845EE"/>
    <w:rsid w:val="00B846F4"/>
    <w:rsid w:val="00B84B74"/>
    <w:rsid w:val="00B84E71"/>
    <w:rsid w:val="00B84EC5"/>
    <w:rsid w:val="00B8553E"/>
    <w:rsid w:val="00B857AD"/>
    <w:rsid w:val="00B85A86"/>
    <w:rsid w:val="00B8606D"/>
    <w:rsid w:val="00B864DE"/>
    <w:rsid w:val="00B86642"/>
    <w:rsid w:val="00B869B6"/>
    <w:rsid w:val="00B869C2"/>
    <w:rsid w:val="00B869EF"/>
    <w:rsid w:val="00B86B54"/>
    <w:rsid w:val="00B8706E"/>
    <w:rsid w:val="00B874A9"/>
    <w:rsid w:val="00B879F7"/>
    <w:rsid w:val="00B87A77"/>
    <w:rsid w:val="00B87B6A"/>
    <w:rsid w:val="00B90956"/>
    <w:rsid w:val="00B90FEF"/>
    <w:rsid w:val="00B910FC"/>
    <w:rsid w:val="00B912C3"/>
    <w:rsid w:val="00B91482"/>
    <w:rsid w:val="00B915F4"/>
    <w:rsid w:val="00B91D5A"/>
    <w:rsid w:val="00B9203C"/>
    <w:rsid w:val="00B927A8"/>
    <w:rsid w:val="00B92A47"/>
    <w:rsid w:val="00B92D3E"/>
    <w:rsid w:val="00B92DA1"/>
    <w:rsid w:val="00B92FDD"/>
    <w:rsid w:val="00B930D5"/>
    <w:rsid w:val="00B93181"/>
    <w:rsid w:val="00B93199"/>
    <w:rsid w:val="00B931BC"/>
    <w:rsid w:val="00B931FA"/>
    <w:rsid w:val="00B9397F"/>
    <w:rsid w:val="00B93A0D"/>
    <w:rsid w:val="00B93D69"/>
    <w:rsid w:val="00B9424D"/>
    <w:rsid w:val="00B9439D"/>
    <w:rsid w:val="00B94608"/>
    <w:rsid w:val="00B94819"/>
    <w:rsid w:val="00B94A4E"/>
    <w:rsid w:val="00B94BBE"/>
    <w:rsid w:val="00B94D58"/>
    <w:rsid w:val="00B94D95"/>
    <w:rsid w:val="00B9504A"/>
    <w:rsid w:val="00B959D2"/>
    <w:rsid w:val="00B959EC"/>
    <w:rsid w:val="00B95B1A"/>
    <w:rsid w:val="00B9603A"/>
    <w:rsid w:val="00B960C3"/>
    <w:rsid w:val="00B9628B"/>
    <w:rsid w:val="00B96543"/>
    <w:rsid w:val="00B965D9"/>
    <w:rsid w:val="00B9672D"/>
    <w:rsid w:val="00B9674B"/>
    <w:rsid w:val="00B9674C"/>
    <w:rsid w:val="00B969A2"/>
    <w:rsid w:val="00B96B4C"/>
    <w:rsid w:val="00B96C07"/>
    <w:rsid w:val="00B96E3B"/>
    <w:rsid w:val="00B96EC4"/>
    <w:rsid w:val="00B96F32"/>
    <w:rsid w:val="00B96F71"/>
    <w:rsid w:val="00B96FF7"/>
    <w:rsid w:val="00B972B7"/>
    <w:rsid w:val="00B974CF"/>
    <w:rsid w:val="00B974DF"/>
    <w:rsid w:val="00B97D98"/>
    <w:rsid w:val="00B97EBD"/>
    <w:rsid w:val="00B97F79"/>
    <w:rsid w:val="00BA036D"/>
    <w:rsid w:val="00BA04D0"/>
    <w:rsid w:val="00BA06D8"/>
    <w:rsid w:val="00BA0769"/>
    <w:rsid w:val="00BA08C2"/>
    <w:rsid w:val="00BA0BF6"/>
    <w:rsid w:val="00BA0C74"/>
    <w:rsid w:val="00BA0E68"/>
    <w:rsid w:val="00BA0FD0"/>
    <w:rsid w:val="00BA12C7"/>
    <w:rsid w:val="00BA179D"/>
    <w:rsid w:val="00BA1DD9"/>
    <w:rsid w:val="00BA1EA0"/>
    <w:rsid w:val="00BA1FDD"/>
    <w:rsid w:val="00BA2343"/>
    <w:rsid w:val="00BA273C"/>
    <w:rsid w:val="00BA2AA0"/>
    <w:rsid w:val="00BA2C8C"/>
    <w:rsid w:val="00BA3010"/>
    <w:rsid w:val="00BA3A68"/>
    <w:rsid w:val="00BA3CA1"/>
    <w:rsid w:val="00BA3CD6"/>
    <w:rsid w:val="00BA3D80"/>
    <w:rsid w:val="00BA3E75"/>
    <w:rsid w:val="00BA3F59"/>
    <w:rsid w:val="00BA44B7"/>
    <w:rsid w:val="00BA45DC"/>
    <w:rsid w:val="00BA46E5"/>
    <w:rsid w:val="00BA4BE9"/>
    <w:rsid w:val="00BA4D7A"/>
    <w:rsid w:val="00BA5300"/>
    <w:rsid w:val="00BA5311"/>
    <w:rsid w:val="00BA53B3"/>
    <w:rsid w:val="00BA5442"/>
    <w:rsid w:val="00BA594B"/>
    <w:rsid w:val="00BA5A56"/>
    <w:rsid w:val="00BA5DDA"/>
    <w:rsid w:val="00BA5E65"/>
    <w:rsid w:val="00BA614F"/>
    <w:rsid w:val="00BA6472"/>
    <w:rsid w:val="00BA69A6"/>
    <w:rsid w:val="00BA6A2F"/>
    <w:rsid w:val="00BA6A80"/>
    <w:rsid w:val="00BA6F90"/>
    <w:rsid w:val="00BA7324"/>
    <w:rsid w:val="00BA79D6"/>
    <w:rsid w:val="00BB0444"/>
    <w:rsid w:val="00BB0516"/>
    <w:rsid w:val="00BB09AC"/>
    <w:rsid w:val="00BB0A09"/>
    <w:rsid w:val="00BB0BE5"/>
    <w:rsid w:val="00BB0FFC"/>
    <w:rsid w:val="00BB100F"/>
    <w:rsid w:val="00BB106B"/>
    <w:rsid w:val="00BB1A58"/>
    <w:rsid w:val="00BB1E3A"/>
    <w:rsid w:val="00BB1FCC"/>
    <w:rsid w:val="00BB21FD"/>
    <w:rsid w:val="00BB247B"/>
    <w:rsid w:val="00BB2B6E"/>
    <w:rsid w:val="00BB2E2B"/>
    <w:rsid w:val="00BB2F34"/>
    <w:rsid w:val="00BB3492"/>
    <w:rsid w:val="00BB394C"/>
    <w:rsid w:val="00BB3ACD"/>
    <w:rsid w:val="00BB3DBD"/>
    <w:rsid w:val="00BB3EB4"/>
    <w:rsid w:val="00BB41A4"/>
    <w:rsid w:val="00BB43AC"/>
    <w:rsid w:val="00BB47FA"/>
    <w:rsid w:val="00BB4850"/>
    <w:rsid w:val="00BB4C51"/>
    <w:rsid w:val="00BB50D5"/>
    <w:rsid w:val="00BB523A"/>
    <w:rsid w:val="00BB5384"/>
    <w:rsid w:val="00BB5412"/>
    <w:rsid w:val="00BB57B0"/>
    <w:rsid w:val="00BB5A4C"/>
    <w:rsid w:val="00BB5BC5"/>
    <w:rsid w:val="00BB6209"/>
    <w:rsid w:val="00BB6723"/>
    <w:rsid w:val="00BB6796"/>
    <w:rsid w:val="00BB681A"/>
    <w:rsid w:val="00BB6B0E"/>
    <w:rsid w:val="00BB6B88"/>
    <w:rsid w:val="00BB6D83"/>
    <w:rsid w:val="00BB6E6C"/>
    <w:rsid w:val="00BB706E"/>
    <w:rsid w:val="00BB73DD"/>
    <w:rsid w:val="00BB755D"/>
    <w:rsid w:val="00BB7F79"/>
    <w:rsid w:val="00BC0092"/>
    <w:rsid w:val="00BC060E"/>
    <w:rsid w:val="00BC06E0"/>
    <w:rsid w:val="00BC07A4"/>
    <w:rsid w:val="00BC07C8"/>
    <w:rsid w:val="00BC0871"/>
    <w:rsid w:val="00BC0A47"/>
    <w:rsid w:val="00BC0E39"/>
    <w:rsid w:val="00BC0E9E"/>
    <w:rsid w:val="00BC0FBE"/>
    <w:rsid w:val="00BC10EA"/>
    <w:rsid w:val="00BC1290"/>
    <w:rsid w:val="00BC14A0"/>
    <w:rsid w:val="00BC1553"/>
    <w:rsid w:val="00BC155C"/>
    <w:rsid w:val="00BC190C"/>
    <w:rsid w:val="00BC1CCF"/>
    <w:rsid w:val="00BC1DE3"/>
    <w:rsid w:val="00BC2113"/>
    <w:rsid w:val="00BC2141"/>
    <w:rsid w:val="00BC219D"/>
    <w:rsid w:val="00BC229E"/>
    <w:rsid w:val="00BC233B"/>
    <w:rsid w:val="00BC2397"/>
    <w:rsid w:val="00BC266D"/>
    <w:rsid w:val="00BC276F"/>
    <w:rsid w:val="00BC297C"/>
    <w:rsid w:val="00BC2A81"/>
    <w:rsid w:val="00BC2B74"/>
    <w:rsid w:val="00BC2CE2"/>
    <w:rsid w:val="00BC2D0E"/>
    <w:rsid w:val="00BC2EA7"/>
    <w:rsid w:val="00BC334A"/>
    <w:rsid w:val="00BC3380"/>
    <w:rsid w:val="00BC339E"/>
    <w:rsid w:val="00BC3750"/>
    <w:rsid w:val="00BC37A7"/>
    <w:rsid w:val="00BC3A3C"/>
    <w:rsid w:val="00BC3CE9"/>
    <w:rsid w:val="00BC3DD4"/>
    <w:rsid w:val="00BC3E01"/>
    <w:rsid w:val="00BC4415"/>
    <w:rsid w:val="00BC4679"/>
    <w:rsid w:val="00BC4717"/>
    <w:rsid w:val="00BC47FC"/>
    <w:rsid w:val="00BC48C0"/>
    <w:rsid w:val="00BC4B34"/>
    <w:rsid w:val="00BC4E31"/>
    <w:rsid w:val="00BC510A"/>
    <w:rsid w:val="00BC6D41"/>
    <w:rsid w:val="00BC7056"/>
    <w:rsid w:val="00BC72D8"/>
    <w:rsid w:val="00BC7588"/>
    <w:rsid w:val="00BC7D74"/>
    <w:rsid w:val="00BD00BB"/>
    <w:rsid w:val="00BD00C9"/>
    <w:rsid w:val="00BD03A6"/>
    <w:rsid w:val="00BD0568"/>
    <w:rsid w:val="00BD0658"/>
    <w:rsid w:val="00BD0941"/>
    <w:rsid w:val="00BD0BE3"/>
    <w:rsid w:val="00BD0D22"/>
    <w:rsid w:val="00BD0E9F"/>
    <w:rsid w:val="00BD10CA"/>
    <w:rsid w:val="00BD11FD"/>
    <w:rsid w:val="00BD131D"/>
    <w:rsid w:val="00BD161D"/>
    <w:rsid w:val="00BD18CE"/>
    <w:rsid w:val="00BD22C9"/>
    <w:rsid w:val="00BD2CF5"/>
    <w:rsid w:val="00BD3279"/>
    <w:rsid w:val="00BD35EA"/>
    <w:rsid w:val="00BD3602"/>
    <w:rsid w:val="00BD3C04"/>
    <w:rsid w:val="00BD3C0C"/>
    <w:rsid w:val="00BD41A5"/>
    <w:rsid w:val="00BD465D"/>
    <w:rsid w:val="00BD4681"/>
    <w:rsid w:val="00BD4F51"/>
    <w:rsid w:val="00BD5169"/>
    <w:rsid w:val="00BD51DC"/>
    <w:rsid w:val="00BD522D"/>
    <w:rsid w:val="00BD54B6"/>
    <w:rsid w:val="00BD5660"/>
    <w:rsid w:val="00BD5902"/>
    <w:rsid w:val="00BD5B2B"/>
    <w:rsid w:val="00BD5B66"/>
    <w:rsid w:val="00BD5EFB"/>
    <w:rsid w:val="00BD6694"/>
    <w:rsid w:val="00BD6748"/>
    <w:rsid w:val="00BD675E"/>
    <w:rsid w:val="00BD6E73"/>
    <w:rsid w:val="00BD71BA"/>
    <w:rsid w:val="00BD728D"/>
    <w:rsid w:val="00BD7343"/>
    <w:rsid w:val="00BD7484"/>
    <w:rsid w:val="00BD7611"/>
    <w:rsid w:val="00BD7B89"/>
    <w:rsid w:val="00BD7BAE"/>
    <w:rsid w:val="00BD7D2D"/>
    <w:rsid w:val="00BD7F5C"/>
    <w:rsid w:val="00BE003D"/>
    <w:rsid w:val="00BE0585"/>
    <w:rsid w:val="00BE0B86"/>
    <w:rsid w:val="00BE0D9D"/>
    <w:rsid w:val="00BE0E6B"/>
    <w:rsid w:val="00BE1555"/>
    <w:rsid w:val="00BE17C4"/>
    <w:rsid w:val="00BE1A74"/>
    <w:rsid w:val="00BE1AC4"/>
    <w:rsid w:val="00BE1ACE"/>
    <w:rsid w:val="00BE1E9F"/>
    <w:rsid w:val="00BE20B4"/>
    <w:rsid w:val="00BE2C41"/>
    <w:rsid w:val="00BE354C"/>
    <w:rsid w:val="00BE37D2"/>
    <w:rsid w:val="00BE3994"/>
    <w:rsid w:val="00BE3AE9"/>
    <w:rsid w:val="00BE3BDE"/>
    <w:rsid w:val="00BE3CD6"/>
    <w:rsid w:val="00BE42BF"/>
    <w:rsid w:val="00BE4402"/>
    <w:rsid w:val="00BE5239"/>
    <w:rsid w:val="00BE5355"/>
    <w:rsid w:val="00BE5533"/>
    <w:rsid w:val="00BE555D"/>
    <w:rsid w:val="00BE5925"/>
    <w:rsid w:val="00BE5B24"/>
    <w:rsid w:val="00BE5C1E"/>
    <w:rsid w:val="00BE5FDE"/>
    <w:rsid w:val="00BE66A1"/>
    <w:rsid w:val="00BE68D4"/>
    <w:rsid w:val="00BE6EB1"/>
    <w:rsid w:val="00BE6FCC"/>
    <w:rsid w:val="00BE70CD"/>
    <w:rsid w:val="00BE73DB"/>
    <w:rsid w:val="00BF001A"/>
    <w:rsid w:val="00BF030A"/>
    <w:rsid w:val="00BF0746"/>
    <w:rsid w:val="00BF09A7"/>
    <w:rsid w:val="00BF0C43"/>
    <w:rsid w:val="00BF0EC7"/>
    <w:rsid w:val="00BF133D"/>
    <w:rsid w:val="00BF14A7"/>
    <w:rsid w:val="00BF16BF"/>
    <w:rsid w:val="00BF1771"/>
    <w:rsid w:val="00BF17F7"/>
    <w:rsid w:val="00BF1803"/>
    <w:rsid w:val="00BF1850"/>
    <w:rsid w:val="00BF19DC"/>
    <w:rsid w:val="00BF1A57"/>
    <w:rsid w:val="00BF1C08"/>
    <w:rsid w:val="00BF25F4"/>
    <w:rsid w:val="00BF2632"/>
    <w:rsid w:val="00BF2664"/>
    <w:rsid w:val="00BF26AE"/>
    <w:rsid w:val="00BF297C"/>
    <w:rsid w:val="00BF2990"/>
    <w:rsid w:val="00BF2BB5"/>
    <w:rsid w:val="00BF3039"/>
    <w:rsid w:val="00BF315F"/>
    <w:rsid w:val="00BF3178"/>
    <w:rsid w:val="00BF3204"/>
    <w:rsid w:val="00BF33DA"/>
    <w:rsid w:val="00BF34EA"/>
    <w:rsid w:val="00BF39FC"/>
    <w:rsid w:val="00BF3BF3"/>
    <w:rsid w:val="00BF3CF4"/>
    <w:rsid w:val="00BF3DC5"/>
    <w:rsid w:val="00BF3F4C"/>
    <w:rsid w:val="00BF4087"/>
    <w:rsid w:val="00BF431D"/>
    <w:rsid w:val="00BF45FA"/>
    <w:rsid w:val="00BF4A2B"/>
    <w:rsid w:val="00BF4A80"/>
    <w:rsid w:val="00BF4EDC"/>
    <w:rsid w:val="00BF514C"/>
    <w:rsid w:val="00BF54AD"/>
    <w:rsid w:val="00BF54F4"/>
    <w:rsid w:val="00BF565D"/>
    <w:rsid w:val="00BF5888"/>
    <w:rsid w:val="00BF58CC"/>
    <w:rsid w:val="00BF5A1B"/>
    <w:rsid w:val="00BF5D3E"/>
    <w:rsid w:val="00BF5D78"/>
    <w:rsid w:val="00BF6022"/>
    <w:rsid w:val="00BF6386"/>
    <w:rsid w:val="00BF6431"/>
    <w:rsid w:val="00BF6610"/>
    <w:rsid w:val="00BF6B98"/>
    <w:rsid w:val="00BF7085"/>
    <w:rsid w:val="00BF7240"/>
    <w:rsid w:val="00BF73B3"/>
    <w:rsid w:val="00BF7AFE"/>
    <w:rsid w:val="00BF7B2B"/>
    <w:rsid w:val="00BF7C85"/>
    <w:rsid w:val="00BF7E01"/>
    <w:rsid w:val="00C000F8"/>
    <w:rsid w:val="00C002CB"/>
    <w:rsid w:val="00C0037A"/>
    <w:rsid w:val="00C003A4"/>
    <w:rsid w:val="00C00507"/>
    <w:rsid w:val="00C00746"/>
    <w:rsid w:val="00C00766"/>
    <w:rsid w:val="00C0093F"/>
    <w:rsid w:val="00C00B6A"/>
    <w:rsid w:val="00C0100F"/>
    <w:rsid w:val="00C012CC"/>
    <w:rsid w:val="00C01871"/>
    <w:rsid w:val="00C01EBD"/>
    <w:rsid w:val="00C0211E"/>
    <w:rsid w:val="00C023F5"/>
    <w:rsid w:val="00C0250E"/>
    <w:rsid w:val="00C02589"/>
    <w:rsid w:val="00C0265F"/>
    <w:rsid w:val="00C026D6"/>
    <w:rsid w:val="00C028F5"/>
    <w:rsid w:val="00C02A1C"/>
    <w:rsid w:val="00C02AAC"/>
    <w:rsid w:val="00C02C58"/>
    <w:rsid w:val="00C02E54"/>
    <w:rsid w:val="00C032F6"/>
    <w:rsid w:val="00C034AE"/>
    <w:rsid w:val="00C03F6A"/>
    <w:rsid w:val="00C04050"/>
    <w:rsid w:val="00C04052"/>
    <w:rsid w:val="00C04137"/>
    <w:rsid w:val="00C04548"/>
    <w:rsid w:val="00C050DB"/>
    <w:rsid w:val="00C05131"/>
    <w:rsid w:val="00C052CC"/>
    <w:rsid w:val="00C0555B"/>
    <w:rsid w:val="00C05661"/>
    <w:rsid w:val="00C058A9"/>
    <w:rsid w:val="00C059DF"/>
    <w:rsid w:val="00C06093"/>
    <w:rsid w:val="00C062CC"/>
    <w:rsid w:val="00C064D4"/>
    <w:rsid w:val="00C06935"/>
    <w:rsid w:val="00C06A8B"/>
    <w:rsid w:val="00C06CA0"/>
    <w:rsid w:val="00C073A6"/>
    <w:rsid w:val="00C0745B"/>
    <w:rsid w:val="00C07557"/>
    <w:rsid w:val="00C07ABD"/>
    <w:rsid w:val="00C07B64"/>
    <w:rsid w:val="00C07C5B"/>
    <w:rsid w:val="00C07D27"/>
    <w:rsid w:val="00C07E3E"/>
    <w:rsid w:val="00C10090"/>
    <w:rsid w:val="00C10095"/>
    <w:rsid w:val="00C101EA"/>
    <w:rsid w:val="00C102F8"/>
    <w:rsid w:val="00C10312"/>
    <w:rsid w:val="00C1093E"/>
    <w:rsid w:val="00C10E44"/>
    <w:rsid w:val="00C1145A"/>
    <w:rsid w:val="00C1163A"/>
    <w:rsid w:val="00C117E5"/>
    <w:rsid w:val="00C117F3"/>
    <w:rsid w:val="00C118AF"/>
    <w:rsid w:val="00C11B87"/>
    <w:rsid w:val="00C11C58"/>
    <w:rsid w:val="00C11EFA"/>
    <w:rsid w:val="00C121AD"/>
    <w:rsid w:val="00C123C3"/>
    <w:rsid w:val="00C12686"/>
    <w:rsid w:val="00C12915"/>
    <w:rsid w:val="00C12A13"/>
    <w:rsid w:val="00C12B85"/>
    <w:rsid w:val="00C12CBF"/>
    <w:rsid w:val="00C130A3"/>
    <w:rsid w:val="00C136C1"/>
    <w:rsid w:val="00C136EF"/>
    <w:rsid w:val="00C13796"/>
    <w:rsid w:val="00C13828"/>
    <w:rsid w:val="00C13BA7"/>
    <w:rsid w:val="00C14034"/>
    <w:rsid w:val="00C145E3"/>
    <w:rsid w:val="00C14A9A"/>
    <w:rsid w:val="00C14D89"/>
    <w:rsid w:val="00C14EA9"/>
    <w:rsid w:val="00C14F3A"/>
    <w:rsid w:val="00C154D1"/>
    <w:rsid w:val="00C15846"/>
    <w:rsid w:val="00C15944"/>
    <w:rsid w:val="00C16017"/>
    <w:rsid w:val="00C16157"/>
    <w:rsid w:val="00C16265"/>
    <w:rsid w:val="00C16873"/>
    <w:rsid w:val="00C16C0D"/>
    <w:rsid w:val="00C16C7D"/>
    <w:rsid w:val="00C16CE3"/>
    <w:rsid w:val="00C16EC2"/>
    <w:rsid w:val="00C16F38"/>
    <w:rsid w:val="00C17441"/>
    <w:rsid w:val="00C17CFC"/>
    <w:rsid w:val="00C17E44"/>
    <w:rsid w:val="00C17FB9"/>
    <w:rsid w:val="00C202B6"/>
    <w:rsid w:val="00C206E9"/>
    <w:rsid w:val="00C20B46"/>
    <w:rsid w:val="00C20B50"/>
    <w:rsid w:val="00C20E4F"/>
    <w:rsid w:val="00C211B8"/>
    <w:rsid w:val="00C21241"/>
    <w:rsid w:val="00C212B2"/>
    <w:rsid w:val="00C21538"/>
    <w:rsid w:val="00C2156B"/>
    <w:rsid w:val="00C21801"/>
    <w:rsid w:val="00C21E23"/>
    <w:rsid w:val="00C21F02"/>
    <w:rsid w:val="00C21F56"/>
    <w:rsid w:val="00C221BD"/>
    <w:rsid w:val="00C2250B"/>
    <w:rsid w:val="00C227C9"/>
    <w:rsid w:val="00C2284C"/>
    <w:rsid w:val="00C22975"/>
    <w:rsid w:val="00C22BBB"/>
    <w:rsid w:val="00C22C7E"/>
    <w:rsid w:val="00C22F2B"/>
    <w:rsid w:val="00C23110"/>
    <w:rsid w:val="00C23266"/>
    <w:rsid w:val="00C23885"/>
    <w:rsid w:val="00C23951"/>
    <w:rsid w:val="00C23B74"/>
    <w:rsid w:val="00C23CC4"/>
    <w:rsid w:val="00C2405F"/>
    <w:rsid w:val="00C241FA"/>
    <w:rsid w:val="00C24489"/>
    <w:rsid w:val="00C244FB"/>
    <w:rsid w:val="00C2490F"/>
    <w:rsid w:val="00C249CA"/>
    <w:rsid w:val="00C24A0E"/>
    <w:rsid w:val="00C24A47"/>
    <w:rsid w:val="00C251D4"/>
    <w:rsid w:val="00C252F6"/>
    <w:rsid w:val="00C256A0"/>
    <w:rsid w:val="00C25775"/>
    <w:rsid w:val="00C2593C"/>
    <w:rsid w:val="00C25B5B"/>
    <w:rsid w:val="00C26644"/>
    <w:rsid w:val="00C26781"/>
    <w:rsid w:val="00C269F6"/>
    <w:rsid w:val="00C26F4D"/>
    <w:rsid w:val="00C304DF"/>
    <w:rsid w:val="00C30F18"/>
    <w:rsid w:val="00C31232"/>
    <w:rsid w:val="00C312BA"/>
    <w:rsid w:val="00C3143B"/>
    <w:rsid w:val="00C315FE"/>
    <w:rsid w:val="00C32539"/>
    <w:rsid w:val="00C32611"/>
    <w:rsid w:val="00C32B03"/>
    <w:rsid w:val="00C32BAA"/>
    <w:rsid w:val="00C32C6C"/>
    <w:rsid w:val="00C32EC0"/>
    <w:rsid w:val="00C330C8"/>
    <w:rsid w:val="00C3316A"/>
    <w:rsid w:val="00C331F5"/>
    <w:rsid w:val="00C33244"/>
    <w:rsid w:val="00C332BD"/>
    <w:rsid w:val="00C334AD"/>
    <w:rsid w:val="00C33913"/>
    <w:rsid w:val="00C33C7E"/>
    <w:rsid w:val="00C33E98"/>
    <w:rsid w:val="00C3414D"/>
    <w:rsid w:val="00C341CB"/>
    <w:rsid w:val="00C34324"/>
    <w:rsid w:val="00C344AB"/>
    <w:rsid w:val="00C34AF0"/>
    <w:rsid w:val="00C34BBB"/>
    <w:rsid w:val="00C34C30"/>
    <w:rsid w:val="00C34FF5"/>
    <w:rsid w:val="00C3507E"/>
    <w:rsid w:val="00C350A6"/>
    <w:rsid w:val="00C353B9"/>
    <w:rsid w:val="00C353F2"/>
    <w:rsid w:val="00C35489"/>
    <w:rsid w:val="00C359B6"/>
    <w:rsid w:val="00C35C93"/>
    <w:rsid w:val="00C35DE7"/>
    <w:rsid w:val="00C3644D"/>
    <w:rsid w:val="00C364E5"/>
    <w:rsid w:val="00C367AA"/>
    <w:rsid w:val="00C369BD"/>
    <w:rsid w:val="00C36BB6"/>
    <w:rsid w:val="00C36C3A"/>
    <w:rsid w:val="00C36EBF"/>
    <w:rsid w:val="00C373F2"/>
    <w:rsid w:val="00C3771A"/>
    <w:rsid w:val="00C37773"/>
    <w:rsid w:val="00C37915"/>
    <w:rsid w:val="00C37C85"/>
    <w:rsid w:val="00C37DBA"/>
    <w:rsid w:val="00C4005E"/>
    <w:rsid w:val="00C400B1"/>
    <w:rsid w:val="00C4027C"/>
    <w:rsid w:val="00C40827"/>
    <w:rsid w:val="00C4088B"/>
    <w:rsid w:val="00C40B81"/>
    <w:rsid w:val="00C40C72"/>
    <w:rsid w:val="00C40E60"/>
    <w:rsid w:val="00C40F34"/>
    <w:rsid w:val="00C4114C"/>
    <w:rsid w:val="00C4172F"/>
    <w:rsid w:val="00C41AA3"/>
    <w:rsid w:val="00C41B66"/>
    <w:rsid w:val="00C41BD2"/>
    <w:rsid w:val="00C41D8D"/>
    <w:rsid w:val="00C42216"/>
    <w:rsid w:val="00C422EF"/>
    <w:rsid w:val="00C423E6"/>
    <w:rsid w:val="00C42401"/>
    <w:rsid w:val="00C427DD"/>
    <w:rsid w:val="00C42A45"/>
    <w:rsid w:val="00C42B87"/>
    <w:rsid w:val="00C42D2E"/>
    <w:rsid w:val="00C42E5B"/>
    <w:rsid w:val="00C43044"/>
    <w:rsid w:val="00C4331A"/>
    <w:rsid w:val="00C434AB"/>
    <w:rsid w:val="00C43503"/>
    <w:rsid w:val="00C4375C"/>
    <w:rsid w:val="00C43C22"/>
    <w:rsid w:val="00C43C5E"/>
    <w:rsid w:val="00C43EF8"/>
    <w:rsid w:val="00C44341"/>
    <w:rsid w:val="00C44534"/>
    <w:rsid w:val="00C44B82"/>
    <w:rsid w:val="00C458D7"/>
    <w:rsid w:val="00C45DA6"/>
    <w:rsid w:val="00C45E84"/>
    <w:rsid w:val="00C46121"/>
    <w:rsid w:val="00C461D9"/>
    <w:rsid w:val="00C4692B"/>
    <w:rsid w:val="00C46B27"/>
    <w:rsid w:val="00C46C46"/>
    <w:rsid w:val="00C47099"/>
    <w:rsid w:val="00C471CA"/>
    <w:rsid w:val="00C4723D"/>
    <w:rsid w:val="00C473DF"/>
    <w:rsid w:val="00C47709"/>
    <w:rsid w:val="00C47D6D"/>
    <w:rsid w:val="00C47ECF"/>
    <w:rsid w:val="00C500A1"/>
    <w:rsid w:val="00C502D8"/>
    <w:rsid w:val="00C50857"/>
    <w:rsid w:val="00C50879"/>
    <w:rsid w:val="00C50A2F"/>
    <w:rsid w:val="00C50A48"/>
    <w:rsid w:val="00C50B41"/>
    <w:rsid w:val="00C50B44"/>
    <w:rsid w:val="00C50BF9"/>
    <w:rsid w:val="00C50C5A"/>
    <w:rsid w:val="00C50DB5"/>
    <w:rsid w:val="00C51055"/>
    <w:rsid w:val="00C51171"/>
    <w:rsid w:val="00C51366"/>
    <w:rsid w:val="00C51530"/>
    <w:rsid w:val="00C51977"/>
    <w:rsid w:val="00C51BF9"/>
    <w:rsid w:val="00C51DB5"/>
    <w:rsid w:val="00C51DF8"/>
    <w:rsid w:val="00C51E3A"/>
    <w:rsid w:val="00C52138"/>
    <w:rsid w:val="00C52616"/>
    <w:rsid w:val="00C52702"/>
    <w:rsid w:val="00C52DE4"/>
    <w:rsid w:val="00C5300D"/>
    <w:rsid w:val="00C5357C"/>
    <w:rsid w:val="00C53962"/>
    <w:rsid w:val="00C53C29"/>
    <w:rsid w:val="00C53CAE"/>
    <w:rsid w:val="00C53E2D"/>
    <w:rsid w:val="00C53F5F"/>
    <w:rsid w:val="00C53FA9"/>
    <w:rsid w:val="00C548E5"/>
    <w:rsid w:val="00C549D4"/>
    <w:rsid w:val="00C54CF7"/>
    <w:rsid w:val="00C54F48"/>
    <w:rsid w:val="00C55024"/>
    <w:rsid w:val="00C553C9"/>
    <w:rsid w:val="00C55853"/>
    <w:rsid w:val="00C5586B"/>
    <w:rsid w:val="00C5587D"/>
    <w:rsid w:val="00C5589E"/>
    <w:rsid w:val="00C560C1"/>
    <w:rsid w:val="00C56108"/>
    <w:rsid w:val="00C56521"/>
    <w:rsid w:val="00C56904"/>
    <w:rsid w:val="00C569D9"/>
    <w:rsid w:val="00C56A2C"/>
    <w:rsid w:val="00C56A79"/>
    <w:rsid w:val="00C56BB1"/>
    <w:rsid w:val="00C56BF0"/>
    <w:rsid w:val="00C56FC5"/>
    <w:rsid w:val="00C571D2"/>
    <w:rsid w:val="00C573B7"/>
    <w:rsid w:val="00C57446"/>
    <w:rsid w:val="00C574F7"/>
    <w:rsid w:val="00C57503"/>
    <w:rsid w:val="00C57538"/>
    <w:rsid w:val="00C57796"/>
    <w:rsid w:val="00C577C5"/>
    <w:rsid w:val="00C57D9D"/>
    <w:rsid w:val="00C57DD9"/>
    <w:rsid w:val="00C57F6E"/>
    <w:rsid w:val="00C601AC"/>
    <w:rsid w:val="00C602C6"/>
    <w:rsid w:val="00C6050B"/>
    <w:rsid w:val="00C60649"/>
    <w:rsid w:val="00C60785"/>
    <w:rsid w:val="00C608B5"/>
    <w:rsid w:val="00C608C3"/>
    <w:rsid w:val="00C60BB3"/>
    <w:rsid w:val="00C60BF0"/>
    <w:rsid w:val="00C60BF9"/>
    <w:rsid w:val="00C613C5"/>
    <w:rsid w:val="00C61424"/>
    <w:rsid w:val="00C61447"/>
    <w:rsid w:val="00C61763"/>
    <w:rsid w:val="00C61BC5"/>
    <w:rsid w:val="00C61D80"/>
    <w:rsid w:val="00C624CE"/>
    <w:rsid w:val="00C62680"/>
    <w:rsid w:val="00C626A4"/>
    <w:rsid w:val="00C62C19"/>
    <w:rsid w:val="00C62EC6"/>
    <w:rsid w:val="00C63559"/>
    <w:rsid w:val="00C635EC"/>
    <w:rsid w:val="00C637E4"/>
    <w:rsid w:val="00C637FE"/>
    <w:rsid w:val="00C63BF6"/>
    <w:rsid w:val="00C63D11"/>
    <w:rsid w:val="00C63EFD"/>
    <w:rsid w:val="00C63F0D"/>
    <w:rsid w:val="00C64335"/>
    <w:rsid w:val="00C64937"/>
    <w:rsid w:val="00C65159"/>
    <w:rsid w:val="00C6560B"/>
    <w:rsid w:val="00C65E70"/>
    <w:rsid w:val="00C6640A"/>
    <w:rsid w:val="00C6662D"/>
    <w:rsid w:val="00C66952"/>
    <w:rsid w:val="00C669E6"/>
    <w:rsid w:val="00C669F9"/>
    <w:rsid w:val="00C66A45"/>
    <w:rsid w:val="00C66C01"/>
    <w:rsid w:val="00C6779D"/>
    <w:rsid w:val="00C67A01"/>
    <w:rsid w:val="00C67FDC"/>
    <w:rsid w:val="00C70112"/>
    <w:rsid w:val="00C70206"/>
    <w:rsid w:val="00C70705"/>
    <w:rsid w:val="00C70AB7"/>
    <w:rsid w:val="00C70EFB"/>
    <w:rsid w:val="00C7126D"/>
    <w:rsid w:val="00C714D4"/>
    <w:rsid w:val="00C716C5"/>
    <w:rsid w:val="00C71935"/>
    <w:rsid w:val="00C719A8"/>
    <w:rsid w:val="00C71AE2"/>
    <w:rsid w:val="00C72198"/>
    <w:rsid w:val="00C725CB"/>
    <w:rsid w:val="00C729AF"/>
    <w:rsid w:val="00C7341F"/>
    <w:rsid w:val="00C73B95"/>
    <w:rsid w:val="00C73BEF"/>
    <w:rsid w:val="00C73C8D"/>
    <w:rsid w:val="00C73CC9"/>
    <w:rsid w:val="00C73D96"/>
    <w:rsid w:val="00C73DDC"/>
    <w:rsid w:val="00C74473"/>
    <w:rsid w:val="00C747C4"/>
    <w:rsid w:val="00C747C8"/>
    <w:rsid w:val="00C74A8F"/>
    <w:rsid w:val="00C74DBA"/>
    <w:rsid w:val="00C74EB9"/>
    <w:rsid w:val="00C754D0"/>
    <w:rsid w:val="00C7570E"/>
    <w:rsid w:val="00C757E4"/>
    <w:rsid w:val="00C75963"/>
    <w:rsid w:val="00C75C3B"/>
    <w:rsid w:val="00C75E33"/>
    <w:rsid w:val="00C767B3"/>
    <w:rsid w:val="00C76BB4"/>
    <w:rsid w:val="00C76C59"/>
    <w:rsid w:val="00C77060"/>
    <w:rsid w:val="00C77441"/>
    <w:rsid w:val="00C774E1"/>
    <w:rsid w:val="00C778F1"/>
    <w:rsid w:val="00C77CD5"/>
    <w:rsid w:val="00C77F96"/>
    <w:rsid w:val="00C80028"/>
    <w:rsid w:val="00C80751"/>
    <w:rsid w:val="00C80AA8"/>
    <w:rsid w:val="00C80DC6"/>
    <w:rsid w:val="00C80FB6"/>
    <w:rsid w:val="00C816C6"/>
    <w:rsid w:val="00C81786"/>
    <w:rsid w:val="00C819C0"/>
    <w:rsid w:val="00C819F8"/>
    <w:rsid w:val="00C81BA5"/>
    <w:rsid w:val="00C8206E"/>
    <w:rsid w:val="00C82114"/>
    <w:rsid w:val="00C82599"/>
    <w:rsid w:val="00C8263E"/>
    <w:rsid w:val="00C827B2"/>
    <w:rsid w:val="00C82A74"/>
    <w:rsid w:val="00C82ED0"/>
    <w:rsid w:val="00C8395A"/>
    <w:rsid w:val="00C83B24"/>
    <w:rsid w:val="00C83B59"/>
    <w:rsid w:val="00C83DC6"/>
    <w:rsid w:val="00C84024"/>
    <w:rsid w:val="00C844DC"/>
    <w:rsid w:val="00C84821"/>
    <w:rsid w:val="00C84BCB"/>
    <w:rsid w:val="00C84D3A"/>
    <w:rsid w:val="00C84EE5"/>
    <w:rsid w:val="00C851EB"/>
    <w:rsid w:val="00C859A7"/>
    <w:rsid w:val="00C85B9C"/>
    <w:rsid w:val="00C85D27"/>
    <w:rsid w:val="00C85FEB"/>
    <w:rsid w:val="00C86154"/>
    <w:rsid w:val="00C86645"/>
    <w:rsid w:val="00C86DF3"/>
    <w:rsid w:val="00C87040"/>
    <w:rsid w:val="00C8713A"/>
    <w:rsid w:val="00C872D8"/>
    <w:rsid w:val="00C87486"/>
    <w:rsid w:val="00C90295"/>
    <w:rsid w:val="00C902AB"/>
    <w:rsid w:val="00C90635"/>
    <w:rsid w:val="00C90750"/>
    <w:rsid w:val="00C908FB"/>
    <w:rsid w:val="00C9135B"/>
    <w:rsid w:val="00C914C0"/>
    <w:rsid w:val="00C91732"/>
    <w:rsid w:val="00C917AC"/>
    <w:rsid w:val="00C91820"/>
    <w:rsid w:val="00C91C68"/>
    <w:rsid w:val="00C92051"/>
    <w:rsid w:val="00C921CD"/>
    <w:rsid w:val="00C92247"/>
    <w:rsid w:val="00C924E1"/>
    <w:rsid w:val="00C92A47"/>
    <w:rsid w:val="00C92F32"/>
    <w:rsid w:val="00C93238"/>
    <w:rsid w:val="00C938B5"/>
    <w:rsid w:val="00C9398C"/>
    <w:rsid w:val="00C9399B"/>
    <w:rsid w:val="00C93A3D"/>
    <w:rsid w:val="00C94235"/>
    <w:rsid w:val="00C9426D"/>
    <w:rsid w:val="00C94323"/>
    <w:rsid w:val="00C94558"/>
    <w:rsid w:val="00C94796"/>
    <w:rsid w:val="00C94833"/>
    <w:rsid w:val="00C948DC"/>
    <w:rsid w:val="00C94967"/>
    <w:rsid w:val="00C94AE7"/>
    <w:rsid w:val="00C94BB5"/>
    <w:rsid w:val="00C94F17"/>
    <w:rsid w:val="00C95123"/>
    <w:rsid w:val="00C9554A"/>
    <w:rsid w:val="00C9558E"/>
    <w:rsid w:val="00C95728"/>
    <w:rsid w:val="00C95BFD"/>
    <w:rsid w:val="00C95EF4"/>
    <w:rsid w:val="00C95F42"/>
    <w:rsid w:val="00C95F4A"/>
    <w:rsid w:val="00C966C9"/>
    <w:rsid w:val="00C9694E"/>
    <w:rsid w:val="00C969D5"/>
    <w:rsid w:val="00C97278"/>
    <w:rsid w:val="00C972B1"/>
    <w:rsid w:val="00C97387"/>
    <w:rsid w:val="00C974BD"/>
    <w:rsid w:val="00C97959"/>
    <w:rsid w:val="00C97A37"/>
    <w:rsid w:val="00C97C0E"/>
    <w:rsid w:val="00C97CA3"/>
    <w:rsid w:val="00C97DDE"/>
    <w:rsid w:val="00C97E14"/>
    <w:rsid w:val="00CA000F"/>
    <w:rsid w:val="00CA0076"/>
    <w:rsid w:val="00CA00D8"/>
    <w:rsid w:val="00CA07BC"/>
    <w:rsid w:val="00CA09EF"/>
    <w:rsid w:val="00CA0B34"/>
    <w:rsid w:val="00CA0E57"/>
    <w:rsid w:val="00CA0F06"/>
    <w:rsid w:val="00CA104A"/>
    <w:rsid w:val="00CA1179"/>
    <w:rsid w:val="00CA138A"/>
    <w:rsid w:val="00CA141F"/>
    <w:rsid w:val="00CA14D0"/>
    <w:rsid w:val="00CA19B0"/>
    <w:rsid w:val="00CA1A2C"/>
    <w:rsid w:val="00CA2118"/>
    <w:rsid w:val="00CA22CA"/>
    <w:rsid w:val="00CA23AB"/>
    <w:rsid w:val="00CA2568"/>
    <w:rsid w:val="00CA2737"/>
    <w:rsid w:val="00CA2862"/>
    <w:rsid w:val="00CA28D4"/>
    <w:rsid w:val="00CA2BBE"/>
    <w:rsid w:val="00CA2E1C"/>
    <w:rsid w:val="00CA2FF4"/>
    <w:rsid w:val="00CA30C5"/>
    <w:rsid w:val="00CA3110"/>
    <w:rsid w:val="00CA31C6"/>
    <w:rsid w:val="00CA388A"/>
    <w:rsid w:val="00CA3F91"/>
    <w:rsid w:val="00CA3FC0"/>
    <w:rsid w:val="00CA3FD1"/>
    <w:rsid w:val="00CA4543"/>
    <w:rsid w:val="00CA4E24"/>
    <w:rsid w:val="00CA5331"/>
    <w:rsid w:val="00CA57D3"/>
    <w:rsid w:val="00CA58A4"/>
    <w:rsid w:val="00CA5904"/>
    <w:rsid w:val="00CA59B1"/>
    <w:rsid w:val="00CA5A9E"/>
    <w:rsid w:val="00CA5DD2"/>
    <w:rsid w:val="00CA5E4F"/>
    <w:rsid w:val="00CA5ED8"/>
    <w:rsid w:val="00CA5FCC"/>
    <w:rsid w:val="00CA6320"/>
    <w:rsid w:val="00CA6399"/>
    <w:rsid w:val="00CA663D"/>
    <w:rsid w:val="00CA678C"/>
    <w:rsid w:val="00CA70ED"/>
    <w:rsid w:val="00CA7131"/>
    <w:rsid w:val="00CA71C9"/>
    <w:rsid w:val="00CA7B09"/>
    <w:rsid w:val="00CA7BEC"/>
    <w:rsid w:val="00CA7D5A"/>
    <w:rsid w:val="00CB034E"/>
    <w:rsid w:val="00CB036E"/>
    <w:rsid w:val="00CB0409"/>
    <w:rsid w:val="00CB0465"/>
    <w:rsid w:val="00CB0E4F"/>
    <w:rsid w:val="00CB0F8E"/>
    <w:rsid w:val="00CB1247"/>
    <w:rsid w:val="00CB1375"/>
    <w:rsid w:val="00CB15DD"/>
    <w:rsid w:val="00CB1623"/>
    <w:rsid w:val="00CB1AC6"/>
    <w:rsid w:val="00CB1CC6"/>
    <w:rsid w:val="00CB1F94"/>
    <w:rsid w:val="00CB29CC"/>
    <w:rsid w:val="00CB2DF4"/>
    <w:rsid w:val="00CB2EEF"/>
    <w:rsid w:val="00CB2FBB"/>
    <w:rsid w:val="00CB3188"/>
    <w:rsid w:val="00CB31F0"/>
    <w:rsid w:val="00CB343E"/>
    <w:rsid w:val="00CB3709"/>
    <w:rsid w:val="00CB397D"/>
    <w:rsid w:val="00CB3C2E"/>
    <w:rsid w:val="00CB3CC0"/>
    <w:rsid w:val="00CB3F04"/>
    <w:rsid w:val="00CB43D3"/>
    <w:rsid w:val="00CB4443"/>
    <w:rsid w:val="00CB449A"/>
    <w:rsid w:val="00CB4A1E"/>
    <w:rsid w:val="00CB4B61"/>
    <w:rsid w:val="00CB4E8A"/>
    <w:rsid w:val="00CB506A"/>
    <w:rsid w:val="00CB537C"/>
    <w:rsid w:val="00CB54D0"/>
    <w:rsid w:val="00CB56C7"/>
    <w:rsid w:val="00CB56E7"/>
    <w:rsid w:val="00CB5A28"/>
    <w:rsid w:val="00CB5A92"/>
    <w:rsid w:val="00CB5B5B"/>
    <w:rsid w:val="00CB62C6"/>
    <w:rsid w:val="00CB62E6"/>
    <w:rsid w:val="00CB6CC5"/>
    <w:rsid w:val="00CB6FEA"/>
    <w:rsid w:val="00CB721D"/>
    <w:rsid w:val="00CB7648"/>
    <w:rsid w:val="00CB7762"/>
    <w:rsid w:val="00CB79FC"/>
    <w:rsid w:val="00CB7E9F"/>
    <w:rsid w:val="00CB7F8A"/>
    <w:rsid w:val="00CC0044"/>
    <w:rsid w:val="00CC0115"/>
    <w:rsid w:val="00CC031D"/>
    <w:rsid w:val="00CC09EB"/>
    <w:rsid w:val="00CC10FF"/>
    <w:rsid w:val="00CC118D"/>
    <w:rsid w:val="00CC1415"/>
    <w:rsid w:val="00CC14DF"/>
    <w:rsid w:val="00CC15D1"/>
    <w:rsid w:val="00CC169E"/>
    <w:rsid w:val="00CC18E1"/>
    <w:rsid w:val="00CC18EA"/>
    <w:rsid w:val="00CC216F"/>
    <w:rsid w:val="00CC239C"/>
    <w:rsid w:val="00CC23F2"/>
    <w:rsid w:val="00CC26EC"/>
    <w:rsid w:val="00CC2A7C"/>
    <w:rsid w:val="00CC2D9E"/>
    <w:rsid w:val="00CC2FD2"/>
    <w:rsid w:val="00CC3548"/>
    <w:rsid w:val="00CC37E0"/>
    <w:rsid w:val="00CC3B75"/>
    <w:rsid w:val="00CC3F69"/>
    <w:rsid w:val="00CC4119"/>
    <w:rsid w:val="00CC41B9"/>
    <w:rsid w:val="00CC4285"/>
    <w:rsid w:val="00CC4564"/>
    <w:rsid w:val="00CC4852"/>
    <w:rsid w:val="00CC4979"/>
    <w:rsid w:val="00CC4AE1"/>
    <w:rsid w:val="00CC4D37"/>
    <w:rsid w:val="00CC4DAC"/>
    <w:rsid w:val="00CC4E1B"/>
    <w:rsid w:val="00CC4ED8"/>
    <w:rsid w:val="00CC51FA"/>
    <w:rsid w:val="00CC54AF"/>
    <w:rsid w:val="00CC5E9E"/>
    <w:rsid w:val="00CC63AF"/>
    <w:rsid w:val="00CC6407"/>
    <w:rsid w:val="00CC6485"/>
    <w:rsid w:val="00CC64B6"/>
    <w:rsid w:val="00CC66EE"/>
    <w:rsid w:val="00CC6784"/>
    <w:rsid w:val="00CC6923"/>
    <w:rsid w:val="00CC71F9"/>
    <w:rsid w:val="00CC763A"/>
    <w:rsid w:val="00CC77B7"/>
    <w:rsid w:val="00CC7A3F"/>
    <w:rsid w:val="00CC7F8F"/>
    <w:rsid w:val="00CD0095"/>
    <w:rsid w:val="00CD03ED"/>
    <w:rsid w:val="00CD06C6"/>
    <w:rsid w:val="00CD11CA"/>
    <w:rsid w:val="00CD12C3"/>
    <w:rsid w:val="00CD13D8"/>
    <w:rsid w:val="00CD148E"/>
    <w:rsid w:val="00CD165A"/>
    <w:rsid w:val="00CD17CD"/>
    <w:rsid w:val="00CD17EA"/>
    <w:rsid w:val="00CD1A3B"/>
    <w:rsid w:val="00CD1AA3"/>
    <w:rsid w:val="00CD1BDA"/>
    <w:rsid w:val="00CD1C43"/>
    <w:rsid w:val="00CD1C77"/>
    <w:rsid w:val="00CD1C8D"/>
    <w:rsid w:val="00CD2085"/>
    <w:rsid w:val="00CD2186"/>
    <w:rsid w:val="00CD21AB"/>
    <w:rsid w:val="00CD258E"/>
    <w:rsid w:val="00CD25BB"/>
    <w:rsid w:val="00CD35BA"/>
    <w:rsid w:val="00CD3998"/>
    <w:rsid w:val="00CD39E0"/>
    <w:rsid w:val="00CD3C57"/>
    <w:rsid w:val="00CD4829"/>
    <w:rsid w:val="00CD48FD"/>
    <w:rsid w:val="00CD4AC3"/>
    <w:rsid w:val="00CD4DA3"/>
    <w:rsid w:val="00CD53A2"/>
    <w:rsid w:val="00CD564D"/>
    <w:rsid w:val="00CD57EC"/>
    <w:rsid w:val="00CD5A02"/>
    <w:rsid w:val="00CD5CA2"/>
    <w:rsid w:val="00CD63F8"/>
    <w:rsid w:val="00CD6461"/>
    <w:rsid w:val="00CD682A"/>
    <w:rsid w:val="00CD6AC2"/>
    <w:rsid w:val="00CD6B59"/>
    <w:rsid w:val="00CD6E6F"/>
    <w:rsid w:val="00CD7C29"/>
    <w:rsid w:val="00CD7D8A"/>
    <w:rsid w:val="00CE01A3"/>
    <w:rsid w:val="00CE026A"/>
    <w:rsid w:val="00CE02D2"/>
    <w:rsid w:val="00CE0479"/>
    <w:rsid w:val="00CE0763"/>
    <w:rsid w:val="00CE08C7"/>
    <w:rsid w:val="00CE0B4E"/>
    <w:rsid w:val="00CE0BF0"/>
    <w:rsid w:val="00CE0F83"/>
    <w:rsid w:val="00CE1070"/>
    <w:rsid w:val="00CE13FA"/>
    <w:rsid w:val="00CE1543"/>
    <w:rsid w:val="00CE15FF"/>
    <w:rsid w:val="00CE1F4B"/>
    <w:rsid w:val="00CE2265"/>
    <w:rsid w:val="00CE2334"/>
    <w:rsid w:val="00CE247D"/>
    <w:rsid w:val="00CE24CF"/>
    <w:rsid w:val="00CE297B"/>
    <w:rsid w:val="00CE2A76"/>
    <w:rsid w:val="00CE2BF3"/>
    <w:rsid w:val="00CE2CA4"/>
    <w:rsid w:val="00CE2CD5"/>
    <w:rsid w:val="00CE2D2A"/>
    <w:rsid w:val="00CE3401"/>
    <w:rsid w:val="00CE37C6"/>
    <w:rsid w:val="00CE3EF8"/>
    <w:rsid w:val="00CE4356"/>
    <w:rsid w:val="00CE4C2D"/>
    <w:rsid w:val="00CE4F99"/>
    <w:rsid w:val="00CE53E1"/>
    <w:rsid w:val="00CE53F7"/>
    <w:rsid w:val="00CE55A0"/>
    <w:rsid w:val="00CE58B0"/>
    <w:rsid w:val="00CE5BBE"/>
    <w:rsid w:val="00CE5DB8"/>
    <w:rsid w:val="00CE5FD2"/>
    <w:rsid w:val="00CE63D3"/>
    <w:rsid w:val="00CE6485"/>
    <w:rsid w:val="00CE6C92"/>
    <w:rsid w:val="00CE6D8D"/>
    <w:rsid w:val="00CE6E71"/>
    <w:rsid w:val="00CE6F06"/>
    <w:rsid w:val="00CE7188"/>
    <w:rsid w:val="00CE7362"/>
    <w:rsid w:val="00CE73BE"/>
    <w:rsid w:val="00CE760F"/>
    <w:rsid w:val="00CE7C83"/>
    <w:rsid w:val="00CE7CFE"/>
    <w:rsid w:val="00CE7F60"/>
    <w:rsid w:val="00CF002B"/>
    <w:rsid w:val="00CF04C9"/>
    <w:rsid w:val="00CF0717"/>
    <w:rsid w:val="00CF0A9B"/>
    <w:rsid w:val="00CF0DAB"/>
    <w:rsid w:val="00CF1A57"/>
    <w:rsid w:val="00CF1B9D"/>
    <w:rsid w:val="00CF1D66"/>
    <w:rsid w:val="00CF1EAC"/>
    <w:rsid w:val="00CF1F30"/>
    <w:rsid w:val="00CF1FED"/>
    <w:rsid w:val="00CF21FC"/>
    <w:rsid w:val="00CF243F"/>
    <w:rsid w:val="00CF2762"/>
    <w:rsid w:val="00CF2911"/>
    <w:rsid w:val="00CF2998"/>
    <w:rsid w:val="00CF2A0E"/>
    <w:rsid w:val="00CF2A4D"/>
    <w:rsid w:val="00CF2D91"/>
    <w:rsid w:val="00CF2EB6"/>
    <w:rsid w:val="00CF30F1"/>
    <w:rsid w:val="00CF310B"/>
    <w:rsid w:val="00CF3253"/>
    <w:rsid w:val="00CF385E"/>
    <w:rsid w:val="00CF39B5"/>
    <w:rsid w:val="00CF3A4B"/>
    <w:rsid w:val="00CF3CC0"/>
    <w:rsid w:val="00CF41B5"/>
    <w:rsid w:val="00CF44B3"/>
    <w:rsid w:val="00CF44B7"/>
    <w:rsid w:val="00CF4817"/>
    <w:rsid w:val="00CF48B0"/>
    <w:rsid w:val="00CF48B6"/>
    <w:rsid w:val="00CF497E"/>
    <w:rsid w:val="00CF4AAE"/>
    <w:rsid w:val="00CF4ECC"/>
    <w:rsid w:val="00CF4F23"/>
    <w:rsid w:val="00CF5183"/>
    <w:rsid w:val="00CF51F5"/>
    <w:rsid w:val="00CF61FE"/>
    <w:rsid w:val="00CF67F0"/>
    <w:rsid w:val="00CF710F"/>
    <w:rsid w:val="00CF75F1"/>
    <w:rsid w:val="00CF764F"/>
    <w:rsid w:val="00CF77DB"/>
    <w:rsid w:val="00CF7998"/>
    <w:rsid w:val="00CF7B1E"/>
    <w:rsid w:val="00CF7B41"/>
    <w:rsid w:val="00CF7D1D"/>
    <w:rsid w:val="00CF7D75"/>
    <w:rsid w:val="00CF7DB0"/>
    <w:rsid w:val="00CF7F63"/>
    <w:rsid w:val="00D000E2"/>
    <w:rsid w:val="00D0038B"/>
    <w:rsid w:val="00D003B9"/>
    <w:rsid w:val="00D00524"/>
    <w:rsid w:val="00D00B76"/>
    <w:rsid w:val="00D00CCD"/>
    <w:rsid w:val="00D00F13"/>
    <w:rsid w:val="00D010B5"/>
    <w:rsid w:val="00D01209"/>
    <w:rsid w:val="00D013BA"/>
    <w:rsid w:val="00D013C9"/>
    <w:rsid w:val="00D01443"/>
    <w:rsid w:val="00D01AFA"/>
    <w:rsid w:val="00D02155"/>
    <w:rsid w:val="00D02258"/>
    <w:rsid w:val="00D0235C"/>
    <w:rsid w:val="00D02B55"/>
    <w:rsid w:val="00D02C84"/>
    <w:rsid w:val="00D02D02"/>
    <w:rsid w:val="00D02F6E"/>
    <w:rsid w:val="00D0330E"/>
    <w:rsid w:val="00D03319"/>
    <w:rsid w:val="00D03508"/>
    <w:rsid w:val="00D035EF"/>
    <w:rsid w:val="00D03A88"/>
    <w:rsid w:val="00D03D98"/>
    <w:rsid w:val="00D03DA1"/>
    <w:rsid w:val="00D03F22"/>
    <w:rsid w:val="00D03F93"/>
    <w:rsid w:val="00D0410E"/>
    <w:rsid w:val="00D0447B"/>
    <w:rsid w:val="00D044AA"/>
    <w:rsid w:val="00D04AAD"/>
    <w:rsid w:val="00D04F9C"/>
    <w:rsid w:val="00D05244"/>
    <w:rsid w:val="00D058EE"/>
    <w:rsid w:val="00D05F1B"/>
    <w:rsid w:val="00D063B3"/>
    <w:rsid w:val="00D067FE"/>
    <w:rsid w:val="00D06A13"/>
    <w:rsid w:val="00D06FD7"/>
    <w:rsid w:val="00D0714A"/>
    <w:rsid w:val="00D07456"/>
    <w:rsid w:val="00D0773E"/>
    <w:rsid w:val="00D07E71"/>
    <w:rsid w:val="00D10078"/>
    <w:rsid w:val="00D10301"/>
    <w:rsid w:val="00D10727"/>
    <w:rsid w:val="00D107C2"/>
    <w:rsid w:val="00D10A41"/>
    <w:rsid w:val="00D10ABE"/>
    <w:rsid w:val="00D10F88"/>
    <w:rsid w:val="00D12025"/>
    <w:rsid w:val="00D123BE"/>
    <w:rsid w:val="00D124D4"/>
    <w:rsid w:val="00D126A0"/>
    <w:rsid w:val="00D12B50"/>
    <w:rsid w:val="00D130AD"/>
    <w:rsid w:val="00D13110"/>
    <w:rsid w:val="00D13305"/>
    <w:rsid w:val="00D1368C"/>
    <w:rsid w:val="00D136DA"/>
    <w:rsid w:val="00D138E0"/>
    <w:rsid w:val="00D13E23"/>
    <w:rsid w:val="00D13EDA"/>
    <w:rsid w:val="00D14066"/>
    <w:rsid w:val="00D14112"/>
    <w:rsid w:val="00D14355"/>
    <w:rsid w:val="00D14D4A"/>
    <w:rsid w:val="00D15066"/>
    <w:rsid w:val="00D1544A"/>
    <w:rsid w:val="00D156E7"/>
    <w:rsid w:val="00D15DB3"/>
    <w:rsid w:val="00D15E00"/>
    <w:rsid w:val="00D15EFB"/>
    <w:rsid w:val="00D1649D"/>
    <w:rsid w:val="00D166E1"/>
    <w:rsid w:val="00D16CBF"/>
    <w:rsid w:val="00D16D1A"/>
    <w:rsid w:val="00D16E01"/>
    <w:rsid w:val="00D17B1E"/>
    <w:rsid w:val="00D17B88"/>
    <w:rsid w:val="00D17D20"/>
    <w:rsid w:val="00D17D21"/>
    <w:rsid w:val="00D17EC3"/>
    <w:rsid w:val="00D200A3"/>
    <w:rsid w:val="00D200D0"/>
    <w:rsid w:val="00D200F1"/>
    <w:rsid w:val="00D20276"/>
    <w:rsid w:val="00D2039E"/>
    <w:rsid w:val="00D2057B"/>
    <w:rsid w:val="00D205DB"/>
    <w:rsid w:val="00D206D5"/>
    <w:rsid w:val="00D20726"/>
    <w:rsid w:val="00D207FD"/>
    <w:rsid w:val="00D20932"/>
    <w:rsid w:val="00D2099B"/>
    <w:rsid w:val="00D211BF"/>
    <w:rsid w:val="00D213F4"/>
    <w:rsid w:val="00D21476"/>
    <w:rsid w:val="00D21690"/>
    <w:rsid w:val="00D218A1"/>
    <w:rsid w:val="00D218EE"/>
    <w:rsid w:val="00D21950"/>
    <w:rsid w:val="00D21A55"/>
    <w:rsid w:val="00D21C79"/>
    <w:rsid w:val="00D221A2"/>
    <w:rsid w:val="00D22219"/>
    <w:rsid w:val="00D223E3"/>
    <w:rsid w:val="00D22470"/>
    <w:rsid w:val="00D2254E"/>
    <w:rsid w:val="00D22748"/>
    <w:rsid w:val="00D227C2"/>
    <w:rsid w:val="00D229D6"/>
    <w:rsid w:val="00D229EA"/>
    <w:rsid w:val="00D22CDA"/>
    <w:rsid w:val="00D22E7F"/>
    <w:rsid w:val="00D2302B"/>
    <w:rsid w:val="00D23A90"/>
    <w:rsid w:val="00D23BE5"/>
    <w:rsid w:val="00D23F99"/>
    <w:rsid w:val="00D2407E"/>
    <w:rsid w:val="00D244D3"/>
    <w:rsid w:val="00D25909"/>
    <w:rsid w:val="00D25DDB"/>
    <w:rsid w:val="00D25E4E"/>
    <w:rsid w:val="00D25EB8"/>
    <w:rsid w:val="00D2636D"/>
    <w:rsid w:val="00D26544"/>
    <w:rsid w:val="00D26773"/>
    <w:rsid w:val="00D2689B"/>
    <w:rsid w:val="00D27098"/>
    <w:rsid w:val="00D27102"/>
    <w:rsid w:val="00D27195"/>
    <w:rsid w:val="00D271F7"/>
    <w:rsid w:val="00D27646"/>
    <w:rsid w:val="00D27780"/>
    <w:rsid w:val="00D279C6"/>
    <w:rsid w:val="00D27B21"/>
    <w:rsid w:val="00D27C03"/>
    <w:rsid w:val="00D27ED5"/>
    <w:rsid w:val="00D30727"/>
    <w:rsid w:val="00D30782"/>
    <w:rsid w:val="00D30B0E"/>
    <w:rsid w:val="00D30DC6"/>
    <w:rsid w:val="00D30F4C"/>
    <w:rsid w:val="00D3104E"/>
    <w:rsid w:val="00D31447"/>
    <w:rsid w:val="00D3154C"/>
    <w:rsid w:val="00D3158C"/>
    <w:rsid w:val="00D316A8"/>
    <w:rsid w:val="00D31B87"/>
    <w:rsid w:val="00D31C32"/>
    <w:rsid w:val="00D31E2A"/>
    <w:rsid w:val="00D32005"/>
    <w:rsid w:val="00D323E4"/>
    <w:rsid w:val="00D32584"/>
    <w:rsid w:val="00D3282C"/>
    <w:rsid w:val="00D32B6C"/>
    <w:rsid w:val="00D32E51"/>
    <w:rsid w:val="00D33002"/>
    <w:rsid w:val="00D33297"/>
    <w:rsid w:val="00D335D6"/>
    <w:rsid w:val="00D336FD"/>
    <w:rsid w:val="00D339B2"/>
    <w:rsid w:val="00D33B1A"/>
    <w:rsid w:val="00D340F4"/>
    <w:rsid w:val="00D341EE"/>
    <w:rsid w:val="00D34231"/>
    <w:rsid w:val="00D34784"/>
    <w:rsid w:val="00D34919"/>
    <w:rsid w:val="00D34A29"/>
    <w:rsid w:val="00D34AEE"/>
    <w:rsid w:val="00D34B4B"/>
    <w:rsid w:val="00D34BA3"/>
    <w:rsid w:val="00D34D72"/>
    <w:rsid w:val="00D3514E"/>
    <w:rsid w:val="00D3585C"/>
    <w:rsid w:val="00D35892"/>
    <w:rsid w:val="00D35952"/>
    <w:rsid w:val="00D359DE"/>
    <w:rsid w:val="00D35A01"/>
    <w:rsid w:val="00D3694C"/>
    <w:rsid w:val="00D36E6E"/>
    <w:rsid w:val="00D37218"/>
    <w:rsid w:val="00D37231"/>
    <w:rsid w:val="00D373A0"/>
    <w:rsid w:val="00D374D8"/>
    <w:rsid w:val="00D3795E"/>
    <w:rsid w:val="00D37AA8"/>
    <w:rsid w:val="00D37B32"/>
    <w:rsid w:val="00D37B60"/>
    <w:rsid w:val="00D37DC4"/>
    <w:rsid w:val="00D400E6"/>
    <w:rsid w:val="00D401BC"/>
    <w:rsid w:val="00D40256"/>
    <w:rsid w:val="00D407D9"/>
    <w:rsid w:val="00D40919"/>
    <w:rsid w:val="00D4092E"/>
    <w:rsid w:val="00D40C27"/>
    <w:rsid w:val="00D41297"/>
    <w:rsid w:val="00D41415"/>
    <w:rsid w:val="00D41562"/>
    <w:rsid w:val="00D417A8"/>
    <w:rsid w:val="00D4195D"/>
    <w:rsid w:val="00D4198E"/>
    <w:rsid w:val="00D41B84"/>
    <w:rsid w:val="00D41D5A"/>
    <w:rsid w:val="00D41E0F"/>
    <w:rsid w:val="00D41E6D"/>
    <w:rsid w:val="00D41F10"/>
    <w:rsid w:val="00D42381"/>
    <w:rsid w:val="00D424AA"/>
    <w:rsid w:val="00D42562"/>
    <w:rsid w:val="00D42936"/>
    <w:rsid w:val="00D42A4B"/>
    <w:rsid w:val="00D42E7C"/>
    <w:rsid w:val="00D42E9C"/>
    <w:rsid w:val="00D43117"/>
    <w:rsid w:val="00D436B7"/>
    <w:rsid w:val="00D43847"/>
    <w:rsid w:val="00D43885"/>
    <w:rsid w:val="00D43888"/>
    <w:rsid w:val="00D43B6F"/>
    <w:rsid w:val="00D43ED9"/>
    <w:rsid w:val="00D44035"/>
    <w:rsid w:val="00D4406A"/>
    <w:rsid w:val="00D44244"/>
    <w:rsid w:val="00D446AA"/>
    <w:rsid w:val="00D44CB6"/>
    <w:rsid w:val="00D452C5"/>
    <w:rsid w:val="00D4549E"/>
    <w:rsid w:val="00D4572A"/>
    <w:rsid w:val="00D458AC"/>
    <w:rsid w:val="00D458D0"/>
    <w:rsid w:val="00D45A03"/>
    <w:rsid w:val="00D45A53"/>
    <w:rsid w:val="00D45A82"/>
    <w:rsid w:val="00D45BC5"/>
    <w:rsid w:val="00D45C54"/>
    <w:rsid w:val="00D45CF0"/>
    <w:rsid w:val="00D45DC3"/>
    <w:rsid w:val="00D45ED2"/>
    <w:rsid w:val="00D46490"/>
    <w:rsid w:val="00D4651B"/>
    <w:rsid w:val="00D4692A"/>
    <w:rsid w:val="00D46A7F"/>
    <w:rsid w:val="00D46DED"/>
    <w:rsid w:val="00D47B48"/>
    <w:rsid w:val="00D47D14"/>
    <w:rsid w:val="00D501F8"/>
    <w:rsid w:val="00D50352"/>
    <w:rsid w:val="00D50828"/>
    <w:rsid w:val="00D508B5"/>
    <w:rsid w:val="00D50EB0"/>
    <w:rsid w:val="00D50EC4"/>
    <w:rsid w:val="00D51206"/>
    <w:rsid w:val="00D51238"/>
    <w:rsid w:val="00D51417"/>
    <w:rsid w:val="00D514C8"/>
    <w:rsid w:val="00D51B99"/>
    <w:rsid w:val="00D51F31"/>
    <w:rsid w:val="00D52232"/>
    <w:rsid w:val="00D524CF"/>
    <w:rsid w:val="00D52B61"/>
    <w:rsid w:val="00D52C6E"/>
    <w:rsid w:val="00D52C70"/>
    <w:rsid w:val="00D52DEA"/>
    <w:rsid w:val="00D5346B"/>
    <w:rsid w:val="00D53503"/>
    <w:rsid w:val="00D53A00"/>
    <w:rsid w:val="00D53A7E"/>
    <w:rsid w:val="00D53B87"/>
    <w:rsid w:val="00D53B9E"/>
    <w:rsid w:val="00D541A7"/>
    <w:rsid w:val="00D5457F"/>
    <w:rsid w:val="00D546C5"/>
    <w:rsid w:val="00D551E8"/>
    <w:rsid w:val="00D551EC"/>
    <w:rsid w:val="00D554C3"/>
    <w:rsid w:val="00D55C72"/>
    <w:rsid w:val="00D55CDE"/>
    <w:rsid w:val="00D55CF3"/>
    <w:rsid w:val="00D56367"/>
    <w:rsid w:val="00D56406"/>
    <w:rsid w:val="00D564DD"/>
    <w:rsid w:val="00D5670D"/>
    <w:rsid w:val="00D56772"/>
    <w:rsid w:val="00D56CD4"/>
    <w:rsid w:val="00D56CDF"/>
    <w:rsid w:val="00D571C4"/>
    <w:rsid w:val="00D57216"/>
    <w:rsid w:val="00D576D9"/>
    <w:rsid w:val="00D579FD"/>
    <w:rsid w:val="00D57C21"/>
    <w:rsid w:val="00D57D0D"/>
    <w:rsid w:val="00D60274"/>
    <w:rsid w:val="00D602B5"/>
    <w:rsid w:val="00D60365"/>
    <w:rsid w:val="00D605DB"/>
    <w:rsid w:val="00D6073C"/>
    <w:rsid w:val="00D6080D"/>
    <w:rsid w:val="00D6086E"/>
    <w:rsid w:val="00D60AC0"/>
    <w:rsid w:val="00D60C98"/>
    <w:rsid w:val="00D612D8"/>
    <w:rsid w:val="00D61488"/>
    <w:rsid w:val="00D61B2E"/>
    <w:rsid w:val="00D61B97"/>
    <w:rsid w:val="00D61C45"/>
    <w:rsid w:val="00D61FC7"/>
    <w:rsid w:val="00D622A6"/>
    <w:rsid w:val="00D62BA1"/>
    <w:rsid w:val="00D62C74"/>
    <w:rsid w:val="00D62C96"/>
    <w:rsid w:val="00D62D5E"/>
    <w:rsid w:val="00D63230"/>
    <w:rsid w:val="00D63712"/>
    <w:rsid w:val="00D63B08"/>
    <w:rsid w:val="00D63D68"/>
    <w:rsid w:val="00D63FB2"/>
    <w:rsid w:val="00D64014"/>
    <w:rsid w:val="00D64087"/>
    <w:rsid w:val="00D642C1"/>
    <w:rsid w:val="00D64427"/>
    <w:rsid w:val="00D64601"/>
    <w:rsid w:val="00D6487D"/>
    <w:rsid w:val="00D64AFC"/>
    <w:rsid w:val="00D64D93"/>
    <w:rsid w:val="00D6519A"/>
    <w:rsid w:val="00D65508"/>
    <w:rsid w:val="00D6554B"/>
    <w:rsid w:val="00D655D4"/>
    <w:rsid w:val="00D656C2"/>
    <w:rsid w:val="00D65C85"/>
    <w:rsid w:val="00D65C93"/>
    <w:rsid w:val="00D65DA9"/>
    <w:rsid w:val="00D66524"/>
    <w:rsid w:val="00D66B27"/>
    <w:rsid w:val="00D670C7"/>
    <w:rsid w:val="00D6730B"/>
    <w:rsid w:val="00D67452"/>
    <w:rsid w:val="00D67774"/>
    <w:rsid w:val="00D67893"/>
    <w:rsid w:val="00D67B06"/>
    <w:rsid w:val="00D67D12"/>
    <w:rsid w:val="00D700BD"/>
    <w:rsid w:val="00D70132"/>
    <w:rsid w:val="00D704C0"/>
    <w:rsid w:val="00D704E2"/>
    <w:rsid w:val="00D705DB"/>
    <w:rsid w:val="00D70692"/>
    <w:rsid w:val="00D70A3C"/>
    <w:rsid w:val="00D70AFB"/>
    <w:rsid w:val="00D7105F"/>
    <w:rsid w:val="00D710EB"/>
    <w:rsid w:val="00D710FD"/>
    <w:rsid w:val="00D7110A"/>
    <w:rsid w:val="00D711D2"/>
    <w:rsid w:val="00D711F0"/>
    <w:rsid w:val="00D714C9"/>
    <w:rsid w:val="00D715B1"/>
    <w:rsid w:val="00D719A0"/>
    <w:rsid w:val="00D71BE7"/>
    <w:rsid w:val="00D71D0D"/>
    <w:rsid w:val="00D71E9D"/>
    <w:rsid w:val="00D724C2"/>
    <w:rsid w:val="00D725E3"/>
    <w:rsid w:val="00D72626"/>
    <w:rsid w:val="00D72879"/>
    <w:rsid w:val="00D72A7F"/>
    <w:rsid w:val="00D72DDB"/>
    <w:rsid w:val="00D731A0"/>
    <w:rsid w:val="00D7396C"/>
    <w:rsid w:val="00D73982"/>
    <w:rsid w:val="00D73F7E"/>
    <w:rsid w:val="00D73FF6"/>
    <w:rsid w:val="00D7424F"/>
    <w:rsid w:val="00D74425"/>
    <w:rsid w:val="00D7442D"/>
    <w:rsid w:val="00D746BD"/>
    <w:rsid w:val="00D74806"/>
    <w:rsid w:val="00D74DC7"/>
    <w:rsid w:val="00D75A00"/>
    <w:rsid w:val="00D76094"/>
    <w:rsid w:val="00D761C2"/>
    <w:rsid w:val="00D7621C"/>
    <w:rsid w:val="00D7632F"/>
    <w:rsid w:val="00D76409"/>
    <w:rsid w:val="00D764FD"/>
    <w:rsid w:val="00D76CBB"/>
    <w:rsid w:val="00D76F21"/>
    <w:rsid w:val="00D76FB8"/>
    <w:rsid w:val="00D77AAA"/>
    <w:rsid w:val="00D77AD3"/>
    <w:rsid w:val="00D77CFB"/>
    <w:rsid w:val="00D80109"/>
    <w:rsid w:val="00D801DF"/>
    <w:rsid w:val="00D803BA"/>
    <w:rsid w:val="00D80538"/>
    <w:rsid w:val="00D806CA"/>
    <w:rsid w:val="00D80DD0"/>
    <w:rsid w:val="00D80F4F"/>
    <w:rsid w:val="00D81363"/>
    <w:rsid w:val="00D81445"/>
    <w:rsid w:val="00D81469"/>
    <w:rsid w:val="00D816AA"/>
    <w:rsid w:val="00D81A90"/>
    <w:rsid w:val="00D82176"/>
    <w:rsid w:val="00D82780"/>
    <w:rsid w:val="00D82C58"/>
    <w:rsid w:val="00D82DA1"/>
    <w:rsid w:val="00D82EA8"/>
    <w:rsid w:val="00D82F03"/>
    <w:rsid w:val="00D82FB4"/>
    <w:rsid w:val="00D82FB6"/>
    <w:rsid w:val="00D8305E"/>
    <w:rsid w:val="00D83C5A"/>
    <w:rsid w:val="00D84296"/>
    <w:rsid w:val="00D84896"/>
    <w:rsid w:val="00D84CCD"/>
    <w:rsid w:val="00D84E4B"/>
    <w:rsid w:val="00D84ED9"/>
    <w:rsid w:val="00D84FC0"/>
    <w:rsid w:val="00D84FFD"/>
    <w:rsid w:val="00D85102"/>
    <w:rsid w:val="00D855DD"/>
    <w:rsid w:val="00D85815"/>
    <w:rsid w:val="00D85C21"/>
    <w:rsid w:val="00D85C26"/>
    <w:rsid w:val="00D860CA"/>
    <w:rsid w:val="00D8628F"/>
    <w:rsid w:val="00D8641D"/>
    <w:rsid w:val="00D86B84"/>
    <w:rsid w:val="00D86C0D"/>
    <w:rsid w:val="00D86C18"/>
    <w:rsid w:val="00D86DE7"/>
    <w:rsid w:val="00D86FD5"/>
    <w:rsid w:val="00D87260"/>
    <w:rsid w:val="00D8729E"/>
    <w:rsid w:val="00D873A0"/>
    <w:rsid w:val="00D87484"/>
    <w:rsid w:val="00D874E3"/>
    <w:rsid w:val="00D879CF"/>
    <w:rsid w:val="00D879DB"/>
    <w:rsid w:val="00D879F9"/>
    <w:rsid w:val="00D87C7F"/>
    <w:rsid w:val="00D87E3A"/>
    <w:rsid w:val="00D87F3C"/>
    <w:rsid w:val="00D902F8"/>
    <w:rsid w:val="00D9046F"/>
    <w:rsid w:val="00D90617"/>
    <w:rsid w:val="00D90994"/>
    <w:rsid w:val="00D90B96"/>
    <w:rsid w:val="00D91117"/>
    <w:rsid w:val="00D9150A"/>
    <w:rsid w:val="00D915EE"/>
    <w:rsid w:val="00D919CB"/>
    <w:rsid w:val="00D91E27"/>
    <w:rsid w:val="00D91F82"/>
    <w:rsid w:val="00D922F3"/>
    <w:rsid w:val="00D92462"/>
    <w:rsid w:val="00D926BD"/>
    <w:rsid w:val="00D92A1E"/>
    <w:rsid w:val="00D92CC7"/>
    <w:rsid w:val="00D93073"/>
    <w:rsid w:val="00D932BF"/>
    <w:rsid w:val="00D932C2"/>
    <w:rsid w:val="00D935AA"/>
    <w:rsid w:val="00D939A7"/>
    <w:rsid w:val="00D93CC3"/>
    <w:rsid w:val="00D943BD"/>
    <w:rsid w:val="00D946AC"/>
    <w:rsid w:val="00D947CF"/>
    <w:rsid w:val="00D948F2"/>
    <w:rsid w:val="00D94E67"/>
    <w:rsid w:val="00D95166"/>
    <w:rsid w:val="00D951AD"/>
    <w:rsid w:val="00D95237"/>
    <w:rsid w:val="00D953BD"/>
    <w:rsid w:val="00D953EF"/>
    <w:rsid w:val="00D95406"/>
    <w:rsid w:val="00D958C6"/>
    <w:rsid w:val="00D95B3F"/>
    <w:rsid w:val="00D96028"/>
    <w:rsid w:val="00D9655E"/>
    <w:rsid w:val="00D96687"/>
    <w:rsid w:val="00D966E4"/>
    <w:rsid w:val="00D9676A"/>
    <w:rsid w:val="00D9681F"/>
    <w:rsid w:val="00D970B5"/>
    <w:rsid w:val="00D97316"/>
    <w:rsid w:val="00D9737A"/>
    <w:rsid w:val="00D97465"/>
    <w:rsid w:val="00D974A4"/>
    <w:rsid w:val="00D975CC"/>
    <w:rsid w:val="00D97683"/>
    <w:rsid w:val="00D976DA"/>
    <w:rsid w:val="00D97923"/>
    <w:rsid w:val="00D9799B"/>
    <w:rsid w:val="00D97A33"/>
    <w:rsid w:val="00D97F5F"/>
    <w:rsid w:val="00DA0002"/>
    <w:rsid w:val="00DA018E"/>
    <w:rsid w:val="00DA05D8"/>
    <w:rsid w:val="00DA0B14"/>
    <w:rsid w:val="00DA0D9A"/>
    <w:rsid w:val="00DA11DA"/>
    <w:rsid w:val="00DA1328"/>
    <w:rsid w:val="00DA15ED"/>
    <w:rsid w:val="00DA1A66"/>
    <w:rsid w:val="00DA237F"/>
    <w:rsid w:val="00DA23F2"/>
    <w:rsid w:val="00DA2BC6"/>
    <w:rsid w:val="00DA2E0E"/>
    <w:rsid w:val="00DA380A"/>
    <w:rsid w:val="00DA3869"/>
    <w:rsid w:val="00DA3ABC"/>
    <w:rsid w:val="00DA3E78"/>
    <w:rsid w:val="00DA46F9"/>
    <w:rsid w:val="00DA488D"/>
    <w:rsid w:val="00DA4892"/>
    <w:rsid w:val="00DA4BB6"/>
    <w:rsid w:val="00DA4E8F"/>
    <w:rsid w:val="00DA57FE"/>
    <w:rsid w:val="00DA5D0B"/>
    <w:rsid w:val="00DA6473"/>
    <w:rsid w:val="00DA68F7"/>
    <w:rsid w:val="00DA6C5C"/>
    <w:rsid w:val="00DA709A"/>
    <w:rsid w:val="00DA7584"/>
    <w:rsid w:val="00DA76F0"/>
    <w:rsid w:val="00DA7A6A"/>
    <w:rsid w:val="00DA7A7F"/>
    <w:rsid w:val="00DA7C5E"/>
    <w:rsid w:val="00DA7E9A"/>
    <w:rsid w:val="00DB0028"/>
    <w:rsid w:val="00DB03DF"/>
    <w:rsid w:val="00DB0444"/>
    <w:rsid w:val="00DB0FC3"/>
    <w:rsid w:val="00DB13BF"/>
    <w:rsid w:val="00DB14D9"/>
    <w:rsid w:val="00DB15B3"/>
    <w:rsid w:val="00DB1A5B"/>
    <w:rsid w:val="00DB262E"/>
    <w:rsid w:val="00DB26F9"/>
    <w:rsid w:val="00DB27C4"/>
    <w:rsid w:val="00DB2A73"/>
    <w:rsid w:val="00DB2B9A"/>
    <w:rsid w:val="00DB2D4F"/>
    <w:rsid w:val="00DB2F2B"/>
    <w:rsid w:val="00DB34C9"/>
    <w:rsid w:val="00DB352A"/>
    <w:rsid w:val="00DB355F"/>
    <w:rsid w:val="00DB35B6"/>
    <w:rsid w:val="00DB3972"/>
    <w:rsid w:val="00DB3983"/>
    <w:rsid w:val="00DB3AA6"/>
    <w:rsid w:val="00DB3AFD"/>
    <w:rsid w:val="00DB3B1E"/>
    <w:rsid w:val="00DB3D7E"/>
    <w:rsid w:val="00DB4340"/>
    <w:rsid w:val="00DB44FF"/>
    <w:rsid w:val="00DB4A1B"/>
    <w:rsid w:val="00DB4AD1"/>
    <w:rsid w:val="00DB4E8B"/>
    <w:rsid w:val="00DB52D7"/>
    <w:rsid w:val="00DB54F0"/>
    <w:rsid w:val="00DB55D6"/>
    <w:rsid w:val="00DB594E"/>
    <w:rsid w:val="00DB59A4"/>
    <w:rsid w:val="00DB59CB"/>
    <w:rsid w:val="00DB61D1"/>
    <w:rsid w:val="00DB637B"/>
    <w:rsid w:val="00DB6522"/>
    <w:rsid w:val="00DB66A2"/>
    <w:rsid w:val="00DB66B6"/>
    <w:rsid w:val="00DB66C0"/>
    <w:rsid w:val="00DB6995"/>
    <w:rsid w:val="00DB6D71"/>
    <w:rsid w:val="00DB6EB9"/>
    <w:rsid w:val="00DB6ECF"/>
    <w:rsid w:val="00DB6F0A"/>
    <w:rsid w:val="00DB725C"/>
    <w:rsid w:val="00DB75F0"/>
    <w:rsid w:val="00DB7B0F"/>
    <w:rsid w:val="00DB7EB5"/>
    <w:rsid w:val="00DC061B"/>
    <w:rsid w:val="00DC08A7"/>
    <w:rsid w:val="00DC08FB"/>
    <w:rsid w:val="00DC0A46"/>
    <w:rsid w:val="00DC0BBA"/>
    <w:rsid w:val="00DC0BEE"/>
    <w:rsid w:val="00DC0C7E"/>
    <w:rsid w:val="00DC123C"/>
    <w:rsid w:val="00DC13FF"/>
    <w:rsid w:val="00DC2546"/>
    <w:rsid w:val="00DC2A8E"/>
    <w:rsid w:val="00DC2D8B"/>
    <w:rsid w:val="00DC2D93"/>
    <w:rsid w:val="00DC2E9C"/>
    <w:rsid w:val="00DC3006"/>
    <w:rsid w:val="00DC3093"/>
    <w:rsid w:val="00DC3136"/>
    <w:rsid w:val="00DC314D"/>
    <w:rsid w:val="00DC3220"/>
    <w:rsid w:val="00DC3AD3"/>
    <w:rsid w:val="00DC413B"/>
    <w:rsid w:val="00DC425F"/>
    <w:rsid w:val="00DC52B9"/>
    <w:rsid w:val="00DC54E8"/>
    <w:rsid w:val="00DC5511"/>
    <w:rsid w:val="00DC5ED0"/>
    <w:rsid w:val="00DC5FDC"/>
    <w:rsid w:val="00DC606E"/>
    <w:rsid w:val="00DC632B"/>
    <w:rsid w:val="00DC6518"/>
    <w:rsid w:val="00DC6576"/>
    <w:rsid w:val="00DC65BC"/>
    <w:rsid w:val="00DC65F7"/>
    <w:rsid w:val="00DC6CB5"/>
    <w:rsid w:val="00DC72AC"/>
    <w:rsid w:val="00DC7822"/>
    <w:rsid w:val="00DC7E5D"/>
    <w:rsid w:val="00DC7F27"/>
    <w:rsid w:val="00DC7F35"/>
    <w:rsid w:val="00DD093D"/>
    <w:rsid w:val="00DD0B6F"/>
    <w:rsid w:val="00DD0C9B"/>
    <w:rsid w:val="00DD0DD1"/>
    <w:rsid w:val="00DD0FA1"/>
    <w:rsid w:val="00DD0FBA"/>
    <w:rsid w:val="00DD2535"/>
    <w:rsid w:val="00DD26C6"/>
    <w:rsid w:val="00DD2734"/>
    <w:rsid w:val="00DD2CAA"/>
    <w:rsid w:val="00DD3274"/>
    <w:rsid w:val="00DD3CA6"/>
    <w:rsid w:val="00DD3F22"/>
    <w:rsid w:val="00DD4472"/>
    <w:rsid w:val="00DD450F"/>
    <w:rsid w:val="00DD47BE"/>
    <w:rsid w:val="00DD4B04"/>
    <w:rsid w:val="00DD4EEB"/>
    <w:rsid w:val="00DD539B"/>
    <w:rsid w:val="00DD5D20"/>
    <w:rsid w:val="00DD60EB"/>
    <w:rsid w:val="00DD628F"/>
    <w:rsid w:val="00DD6320"/>
    <w:rsid w:val="00DD6398"/>
    <w:rsid w:val="00DD6712"/>
    <w:rsid w:val="00DD67D5"/>
    <w:rsid w:val="00DD6852"/>
    <w:rsid w:val="00DD71CD"/>
    <w:rsid w:val="00DD72CE"/>
    <w:rsid w:val="00DD75BD"/>
    <w:rsid w:val="00DD7759"/>
    <w:rsid w:val="00DD7819"/>
    <w:rsid w:val="00DD7D1E"/>
    <w:rsid w:val="00DD7DB7"/>
    <w:rsid w:val="00DE0223"/>
    <w:rsid w:val="00DE0526"/>
    <w:rsid w:val="00DE067D"/>
    <w:rsid w:val="00DE0941"/>
    <w:rsid w:val="00DE096D"/>
    <w:rsid w:val="00DE0C13"/>
    <w:rsid w:val="00DE0C59"/>
    <w:rsid w:val="00DE0DDA"/>
    <w:rsid w:val="00DE0E19"/>
    <w:rsid w:val="00DE16C7"/>
    <w:rsid w:val="00DE194C"/>
    <w:rsid w:val="00DE1A2B"/>
    <w:rsid w:val="00DE1AFE"/>
    <w:rsid w:val="00DE26F7"/>
    <w:rsid w:val="00DE2EB5"/>
    <w:rsid w:val="00DE2F4A"/>
    <w:rsid w:val="00DE330B"/>
    <w:rsid w:val="00DE3812"/>
    <w:rsid w:val="00DE3C48"/>
    <w:rsid w:val="00DE3CEF"/>
    <w:rsid w:val="00DE3E65"/>
    <w:rsid w:val="00DE43A2"/>
    <w:rsid w:val="00DE441A"/>
    <w:rsid w:val="00DE5053"/>
    <w:rsid w:val="00DE5218"/>
    <w:rsid w:val="00DE538C"/>
    <w:rsid w:val="00DE54E1"/>
    <w:rsid w:val="00DE5600"/>
    <w:rsid w:val="00DE5796"/>
    <w:rsid w:val="00DE5A37"/>
    <w:rsid w:val="00DE5A4C"/>
    <w:rsid w:val="00DE5B15"/>
    <w:rsid w:val="00DE5B8B"/>
    <w:rsid w:val="00DE5F04"/>
    <w:rsid w:val="00DE6A44"/>
    <w:rsid w:val="00DE6B39"/>
    <w:rsid w:val="00DE6DFC"/>
    <w:rsid w:val="00DE6E8E"/>
    <w:rsid w:val="00DE7110"/>
    <w:rsid w:val="00DE77E7"/>
    <w:rsid w:val="00DE7B90"/>
    <w:rsid w:val="00DE7DA9"/>
    <w:rsid w:val="00DE7F03"/>
    <w:rsid w:val="00DF01DB"/>
    <w:rsid w:val="00DF054F"/>
    <w:rsid w:val="00DF057D"/>
    <w:rsid w:val="00DF0674"/>
    <w:rsid w:val="00DF0A46"/>
    <w:rsid w:val="00DF0C90"/>
    <w:rsid w:val="00DF0CE6"/>
    <w:rsid w:val="00DF14BC"/>
    <w:rsid w:val="00DF1502"/>
    <w:rsid w:val="00DF1585"/>
    <w:rsid w:val="00DF1C1F"/>
    <w:rsid w:val="00DF1DF4"/>
    <w:rsid w:val="00DF1EC5"/>
    <w:rsid w:val="00DF2437"/>
    <w:rsid w:val="00DF2627"/>
    <w:rsid w:val="00DF277C"/>
    <w:rsid w:val="00DF2789"/>
    <w:rsid w:val="00DF2888"/>
    <w:rsid w:val="00DF2912"/>
    <w:rsid w:val="00DF2E8C"/>
    <w:rsid w:val="00DF3124"/>
    <w:rsid w:val="00DF3332"/>
    <w:rsid w:val="00DF3388"/>
    <w:rsid w:val="00DF33EC"/>
    <w:rsid w:val="00DF3515"/>
    <w:rsid w:val="00DF35C8"/>
    <w:rsid w:val="00DF3F04"/>
    <w:rsid w:val="00DF4375"/>
    <w:rsid w:val="00DF45BF"/>
    <w:rsid w:val="00DF48C3"/>
    <w:rsid w:val="00DF4B6D"/>
    <w:rsid w:val="00DF50BC"/>
    <w:rsid w:val="00DF547C"/>
    <w:rsid w:val="00DF55DB"/>
    <w:rsid w:val="00DF5C5B"/>
    <w:rsid w:val="00DF6037"/>
    <w:rsid w:val="00DF63BC"/>
    <w:rsid w:val="00DF64C2"/>
    <w:rsid w:val="00DF6529"/>
    <w:rsid w:val="00DF66E7"/>
    <w:rsid w:val="00DF684D"/>
    <w:rsid w:val="00DF6B9F"/>
    <w:rsid w:val="00DF6FB1"/>
    <w:rsid w:val="00DF7450"/>
    <w:rsid w:val="00DF7594"/>
    <w:rsid w:val="00DF7A18"/>
    <w:rsid w:val="00DF7C0E"/>
    <w:rsid w:val="00DF7C60"/>
    <w:rsid w:val="00DF7F1B"/>
    <w:rsid w:val="00E000C4"/>
    <w:rsid w:val="00E00249"/>
    <w:rsid w:val="00E005D6"/>
    <w:rsid w:val="00E00816"/>
    <w:rsid w:val="00E00A08"/>
    <w:rsid w:val="00E00B42"/>
    <w:rsid w:val="00E00B46"/>
    <w:rsid w:val="00E00B7B"/>
    <w:rsid w:val="00E00BD2"/>
    <w:rsid w:val="00E00CE7"/>
    <w:rsid w:val="00E01236"/>
    <w:rsid w:val="00E0155A"/>
    <w:rsid w:val="00E015B0"/>
    <w:rsid w:val="00E01D93"/>
    <w:rsid w:val="00E0295A"/>
    <w:rsid w:val="00E02A2E"/>
    <w:rsid w:val="00E02C61"/>
    <w:rsid w:val="00E02C87"/>
    <w:rsid w:val="00E02D99"/>
    <w:rsid w:val="00E02EA9"/>
    <w:rsid w:val="00E031F6"/>
    <w:rsid w:val="00E033DF"/>
    <w:rsid w:val="00E034AC"/>
    <w:rsid w:val="00E034CC"/>
    <w:rsid w:val="00E03589"/>
    <w:rsid w:val="00E0388A"/>
    <w:rsid w:val="00E03AF5"/>
    <w:rsid w:val="00E03B56"/>
    <w:rsid w:val="00E04320"/>
    <w:rsid w:val="00E0451A"/>
    <w:rsid w:val="00E0493E"/>
    <w:rsid w:val="00E04B99"/>
    <w:rsid w:val="00E04C47"/>
    <w:rsid w:val="00E04DAF"/>
    <w:rsid w:val="00E04EC7"/>
    <w:rsid w:val="00E04F0C"/>
    <w:rsid w:val="00E0501C"/>
    <w:rsid w:val="00E0546F"/>
    <w:rsid w:val="00E056F7"/>
    <w:rsid w:val="00E0577E"/>
    <w:rsid w:val="00E05C4B"/>
    <w:rsid w:val="00E05D91"/>
    <w:rsid w:val="00E05E0A"/>
    <w:rsid w:val="00E065E5"/>
    <w:rsid w:val="00E06A00"/>
    <w:rsid w:val="00E06BC7"/>
    <w:rsid w:val="00E06FE8"/>
    <w:rsid w:val="00E070AC"/>
    <w:rsid w:val="00E072E6"/>
    <w:rsid w:val="00E0750A"/>
    <w:rsid w:val="00E075DD"/>
    <w:rsid w:val="00E10115"/>
    <w:rsid w:val="00E1035D"/>
    <w:rsid w:val="00E1099A"/>
    <w:rsid w:val="00E10C94"/>
    <w:rsid w:val="00E10D53"/>
    <w:rsid w:val="00E10D90"/>
    <w:rsid w:val="00E10ECA"/>
    <w:rsid w:val="00E11073"/>
    <w:rsid w:val="00E11232"/>
    <w:rsid w:val="00E1164B"/>
    <w:rsid w:val="00E118FB"/>
    <w:rsid w:val="00E11B80"/>
    <w:rsid w:val="00E11EB3"/>
    <w:rsid w:val="00E11F61"/>
    <w:rsid w:val="00E1215C"/>
    <w:rsid w:val="00E12185"/>
    <w:rsid w:val="00E12343"/>
    <w:rsid w:val="00E1240E"/>
    <w:rsid w:val="00E12509"/>
    <w:rsid w:val="00E1263D"/>
    <w:rsid w:val="00E127E8"/>
    <w:rsid w:val="00E12A74"/>
    <w:rsid w:val="00E12B20"/>
    <w:rsid w:val="00E12BF2"/>
    <w:rsid w:val="00E12C4B"/>
    <w:rsid w:val="00E12CC0"/>
    <w:rsid w:val="00E12EB1"/>
    <w:rsid w:val="00E1320B"/>
    <w:rsid w:val="00E139B4"/>
    <w:rsid w:val="00E139BE"/>
    <w:rsid w:val="00E13D84"/>
    <w:rsid w:val="00E14473"/>
    <w:rsid w:val="00E1476D"/>
    <w:rsid w:val="00E14879"/>
    <w:rsid w:val="00E1492E"/>
    <w:rsid w:val="00E149CB"/>
    <w:rsid w:val="00E149DC"/>
    <w:rsid w:val="00E14D66"/>
    <w:rsid w:val="00E14DCA"/>
    <w:rsid w:val="00E14F1E"/>
    <w:rsid w:val="00E15241"/>
    <w:rsid w:val="00E15408"/>
    <w:rsid w:val="00E1549F"/>
    <w:rsid w:val="00E154E7"/>
    <w:rsid w:val="00E15581"/>
    <w:rsid w:val="00E1578F"/>
    <w:rsid w:val="00E1587E"/>
    <w:rsid w:val="00E15888"/>
    <w:rsid w:val="00E15C98"/>
    <w:rsid w:val="00E15F65"/>
    <w:rsid w:val="00E16035"/>
    <w:rsid w:val="00E16558"/>
    <w:rsid w:val="00E16B37"/>
    <w:rsid w:val="00E172A6"/>
    <w:rsid w:val="00E17589"/>
    <w:rsid w:val="00E1780E"/>
    <w:rsid w:val="00E17CE1"/>
    <w:rsid w:val="00E17E68"/>
    <w:rsid w:val="00E205C5"/>
    <w:rsid w:val="00E20B08"/>
    <w:rsid w:val="00E20ED5"/>
    <w:rsid w:val="00E20ED6"/>
    <w:rsid w:val="00E2112B"/>
    <w:rsid w:val="00E212B1"/>
    <w:rsid w:val="00E214C6"/>
    <w:rsid w:val="00E217F1"/>
    <w:rsid w:val="00E219C1"/>
    <w:rsid w:val="00E21A87"/>
    <w:rsid w:val="00E21BC1"/>
    <w:rsid w:val="00E21F70"/>
    <w:rsid w:val="00E22240"/>
    <w:rsid w:val="00E23159"/>
    <w:rsid w:val="00E231AD"/>
    <w:rsid w:val="00E2325C"/>
    <w:rsid w:val="00E2338E"/>
    <w:rsid w:val="00E234AA"/>
    <w:rsid w:val="00E2391A"/>
    <w:rsid w:val="00E23FFC"/>
    <w:rsid w:val="00E249F1"/>
    <w:rsid w:val="00E24AAA"/>
    <w:rsid w:val="00E24C7C"/>
    <w:rsid w:val="00E24CE4"/>
    <w:rsid w:val="00E250AC"/>
    <w:rsid w:val="00E254D5"/>
    <w:rsid w:val="00E25A10"/>
    <w:rsid w:val="00E25FBC"/>
    <w:rsid w:val="00E2609A"/>
    <w:rsid w:val="00E26111"/>
    <w:rsid w:val="00E2615E"/>
    <w:rsid w:val="00E27017"/>
    <w:rsid w:val="00E27727"/>
    <w:rsid w:val="00E27992"/>
    <w:rsid w:val="00E279BA"/>
    <w:rsid w:val="00E279BF"/>
    <w:rsid w:val="00E3009D"/>
    <w:rsid w:val="00E301FE"/>
    <w:rsid w:val="00E303BA"/>
    <w:rsid w:val="00E3059D"/>
    <w:rsid w:val="00E3064B"/>
    <w:rsid w:val="00E30A41"/>
    <w:rsid w:val="00E30C5B"/>
    <w:rsid w:val="00E30E98"/>
    <w:rsid w:val="00E31558"/>
    <w:rsid w:val="00E31B08"/>
    <w:rsid w:val="00E32263"/>
    <w:rsid w:val="00E3263D"/>
    <w:rsid w:val="00E32F54"/>
    <w:rsid w:val="00E33371"/>
    <w:rsid w:val="00E33759"/>
    <w:rsid w:val="00E338E1"/>
    <w:rsid w:val="00E33C35"/>
    <w:rsid w:val="00E33F77"/>
    <w:rsid w:val="00E3432B"/>
    <w:rsid w:val="00E34546"/>
    <w:rsid w:val="00E34940"/>
    <w:rsid w:val="00E34A75"/>
    <w:rsid w:val="00E34A99"/>
    <w:rsid w:val="00E34E52"/>
    <w:rsid w:val="00E35206"/>
    <w:rsid w:val="00E35810"/>
    <w:rsid w:val="00E35AF9"/>
    <w:rsid w:val="00E35BB4"/>
    <w:rsid w:val="00E35CE6"/>
    <w:rsid w:val="00E360F3"/>
    <w:rsid w:val="00E36191"/>
    <w:rsid w:val="00E362DC"/>
    <w:rsid w:val="00E36716"/>
    <w:rsid w:val="00E36B97"/>
    <w:rsid w:val="00E370C6"/>
    <w:rsid w:val="00E371B7"/>
    <w:rsid w:val="00E37C8F"/>
    <w:rsid w:val="00E37DB7"/>
    <w:rsid w:val="00E37F33"/>
    <w:rsid w:val="00E4009F"/>
    <w:rsid w:val="00E40579"/>
    <w:rsid w:val="00E4091E"/>
    <w:rsid w:val="00E40BA8"/>
    <w:rsid w:val="00E40F62"/>
    <w:rsid w:val="00E40FAD"/>
    <w:rsid w:val="00E41063"/>
    <w:rsid w:val="00E413CC"/>
    <w:rsid w:val="00E41426"/>
    <w:rsid w:val="00E41435"/>
    <w:rsid w:val="00E41983"/>
    <w:rsid w:val="00E41C37"/>
    <w:rsid w:val="00E4215C"/>
    <w:rsid w:val="00E42465"/>
    <w:rsid w:val="00E42568"/>
    <w:rsid w:val="00E42621"/>
    <w:rsid w:val="00E427C7"/>
    <w:rsid w:val="00E42A37"/>
    <w:rsid w:val="00E42F97"/>
    <w:rsid w:val="00E4305C"/>
    <w:rsid w:val="00E4305F"/>
    <w:rsid w:val="00E4313C"/>
    <w:rsid w:val="00E43193"/>
    <w:rsid w:val="00E43232"/>
    <w:rsid w:val="00E432C5"/>
    <w:rsid w:val="00E43339"/>
    <w:rsid w:val="00E43B2D"/>
    <w:rsid w:val="00E44CE5"/>
    <w:rsid w:val="00E44D56"/>
    <w:rsid w:val="00E44E7B"/>
    <w:rsid w:val="00E44EEA"/>
    <w:rsid w:val="00E455F8"/>
    <w:rsid w:val="00E45AA3"/>
    <w:rsid w:val="00E45C3B"/>
    <w:rsid w:val="00E46502"/>
    <w:rsid w:val="00E4666F"/>
    <w:rsid w:val="00E467EA"/>
    <w:rsid w:val="00E46B87"/>
    <w:rsid w:val="00E46C9E"/>
    <w:rsid w:val="00E46DFA"/>
    <w:rsid w:val="00E470D1"/>
    <w:rsid w:val="00E47741"/>
    <w:rsid w:val="00E47E50"/>
    <w:rsid w:val="00E500EA"/>
    <w:rsid w:val="00E5041D"/>
    <w:rsid w:val="00E507D6"/>
    <w:rsid w:val="00E508DF"/>
    <w:rsid w:val="00E50DCE"/>
    <w:rsid w:val="00E51011"/>
    <w:rsid w:val="00E51074"/>
    <w:rsid w:val="00E51275"/>
    <w:rsid w:val="00E512C3"/>
    <w:rsid w:val="00E51636"/>
    <w:rsid w:val="00E51738"/>
    <w:rsid w:val="00E518D2"/>
    <w:rsid w:val="00E51B12"/>
    <w:rsid w:val="00E51B89"/>
    <w:rsid w:val="00E51F25"/>
    <w:rsid w:val="00E522CD"/>
    <w:rsid w:val="00E52900"/>
    <w:rsid w:val="00E52ED7"/>
    <w:rsid w:val="00E535B4"/>
    <w:rsid w:val="00E537CE"/>
    <w:rsid w:val="00E53903"/>
    <w:rsid w:val="00E53AD3"/>
    <w:rsid w:val="00E53C2C"/>
    <w:rsid w:val="00E54252"/>
    <w:rsid w:val="00E544E1"/>
    <w:rsid w:val="00E5468B"/>
    <w:rsid w:val="00E54996"/>
    <w:rsid w:val="00E5506B"/>
    <w:rsid w:val="00E55157"/>
    <w:rsid w:val="00E553FC"/>
    <w:rsid w:val="00E55603"/>
    <w:rsid w:val="00E55701"/>
    <w:rsid w:val="00E55E47"/>
    <w:rsid w:val="00E55FC2"/>
    <w:rsid w:val="00E560EC"/>
    <w:rsid w:val="00E5623A"/>
    <w:rsid w:val="00E5646A"/>
    <w:rsid w:val="00E56668"/>
    <w:rsid w:val="00E56780"/>
    <w:rsid w:val="00E56AAA"/>
    <w:rsid w:val="00E56AD9"/>
    <w:rsid w:val="00E56D9B"/>
    <w:rsid w:val="00E5708C"/>
    <w:rsid w:val="00E5746B"/>
    <w:rsid w:val="00E57506"/>
    <w:rsid w:val="00E57E80"/>
    <w:rsid w:val="00E6046F"/>
    <w:rsid w:val="00E60887"/>
    <w:rsid w:val="00E60AE2"/>
    <w:rsid w:val="00E60CAB"/>
    <w:rsid w:val="00E61361"/>
    <w:rsid w:val="00E617BB"/>
    <w:rsid w:val="00E618C6"/>
    <w:rsid w:val="00E6198B"/>
    <w:rsid w:val="00E61D99"/>
    <w:rsid w:val="00E61E73"/>
    <w:rsid w:val="00E61E8D"/>
    <w:rsid w:val="00E61F69"/>
    <w:rsid w:val="00E62034"/>
    <w:rsid w:val="00E62468"/>
    <w:rsid w:val="00E626D8"/>
    <w:rsid w:val="00E626F5"/>
    <w:rsid w:val="00E62AB8"/>
    <w:rsid w:val="00E62AD2"/>
    <w:rsid w:val="00E62AEC"/>
    <w:rsid w:val="00E635F7"/>
    <w:rsid w:val="00E63998"/>
    <w:rsid w:val="00E63CFA"/>
    <w:rsid w:val="00E63EEB"/>
    <w:rsid w:val="00E6433B"/>
    <w:rsid w:val="00E648EB"/>
    <w:rsid w:val="00E64B88"/>
    <w:rsid w:val="00E64F25"/>
    <w:rsid w:val="00E654A3"/>
    <w:rsid w:val="00E654D6"/>
    <w:rsid w:val="00E65511"/>
    <w:rsid w:val="00E656A6"/>
    <w:rsid w:val="00E65AF3"/>
    <w:rsid w:val="00E65B01"/>
    <w:rsid w:val="00E65D00"/>
    <w:rsid w:val="00E66142"/>
    <w:rsid w:val="00E662D5"/>
    <w:rsid w:val="00E6684F"/>
    <w:rsid w:val="00E66F4D"/>
    <w:rsid w:val="00E66F4E"/>
    <w:rsid w:val="00E67537"/>
    <w:rsid w:val="00E679A8"/>
    <w:rsid w:val="00E67E35"/>
    <w:rsid w:val="00E70151"/>
    <w:rsid w:val="00E7037E"/>
    <w:rsid w:val="00E7050B"/>
    <w:rsid w:val="00E707E2"/>
    <w:rsid w:val="00E70872"/>
    <w:rsid w:val="00E7087A"/>
    <w:rsid w:val="00E708E8"/>
    <w:rsid w:val="00E70D93"/>
    <w:rsid w:val="00E7106C"/>
    <w:rsid w:val="00E7118F"/>
    <w:rsid w:val="00E7124B"/>
    <w:rsid w:val="00E713C0"/>
    <w:rsid w:val="00E714DE"/>
    <w:rsid w:val="00E718BD"/>
    <w:rsid w:val="00E7199C"/>
    <w:rsid w:val="00E71B31"/>
    <w:rsid w:val="00E72111"/>
    <w:rsid w:val="00E72697"/>
    <w:rsid w:val="00E72B7E"/>
    <w:rsid w:val="00E7301A"/>
    <w:rsid w:val="00E7341D"/>
    <w:rsid w:val="00E734AF"/>
    <w:rsid w:val="00E737C8"/>
    <w:rsid w:val="00E73CCB"/>
    <w:rsid w:val="00E74064"/>
    <w:rsid w:val="00E740BB"/>
    <w:rsid w:val="00E74103"/>
    <w:rsid w:val="00E74298"/>
    <w:rsid w:val="00E743C6"/>
    <w:rsid w:val="00E7443B"/>
    <w:rsid w:val="00E745EA"/>
    <w:rsid w:val="00E74826"/>
    <w:rsid w:val="00E74950"/>
    <w:rsid w:val="00E74DA6"/>
    <w:rsid w:val="00E74DF5"/>
    <w:rsid w:val="00E74EA9"/>
    <w:rsid w:val="00E751B7"/>
    <w:rsid w:val="00E7532F"/>
    <w:rsid w:val="00E75543"/>
    <w:rsid w:val="00E75666"/>
    <w:rsid w:val="00E75763"/>
    <w:rsid w:val="00E758C0"/>
    <w:rsid w:val="00E75A41"/>
    <w:rsid w:val="00E75F5C"/>
    <w:rsid w:val="00E764D2"/>
    <w:rsid w:val="00E767B0"/>
    <w:rsid w:val="00E7698A"/>
    <w:rsid w:val="00E76E13"/>
    <w:rsid w:val="00E76E49"/>
    <w:rsid w:val="00E7741F"/>
    <w:rsid w:val="00E775A5"/>
    <w:rsid w:val="00E776D6"/>
    <w:rsid w:val="00E776EA"/>
    <w:rsid w:val="00E779AD"/>
    <w:rsid w:val="00E77B04"/>
    <w:rsid w:val="00E77EFD"/>
    <w:rsid w:val="00E77F0D"/>
    <w:rsid w:val="00E80034"/>
    <w:rsid w:val="00E80097"/>
    <w:rsid w:val="00E80A86"/>
    <w:rsid w:val="00E80CEE"/>
    <w:rsid w:val="00E80FA1"/>
    <w:rsid w:val="00E80FD1"/>
    <w:rsid w:val="00E8117F"/>
    <w:rsid w:val="00E811A3"/>
    <w:rsid w:val="00E81466"/>
    <w:rsid w:val="00E814B1"/>
    <w:rsid w:val="00E81B42"/>
    <w:rsid w:val="00E8218B"/>
    <w:rsid w:val="00E82362"/>
    <w:rsid w:val="00E82454"/>
    <w:rsid w:val="00E825DC"/>
    <w:rsid w:val="00E82690"/>
    <w:rsid w:val="00E82C26"/>
    <w:rsid w:val="00E82E3C"/>
    <w:rsid w:val="00E834A2"/>
    <w:rsid w:val="00E8368A"/>
    <w:rsid w:val="00E837B7"/>
    <w:rsid w:val="00E8394D"/>
    <w:rsid w:val="00E83CD5"/>
    <w:rsid w:val="00E83E44"/>
    <w:rsid w:val="00E84053"/>
    <w:rsid w:val="00E843DA"/>
    <w:rsid w:val="00E8442A"/>
    <w:rsid w:val="00E845FF"/>
    <w:rsid w:val="00E84737"/>
    <w:rsid w:val="00E848FC"/>
    <w:rsid w:val="00E84CDB"/>
    <w:rsid w:val="00E84E94"/>
    <w:rsid w:val="00E85070"/>
    <w:rsid w:val="00E85130"/>
    <w:rsid w:val="00E851B7"/>
    <w:rsid w:val="00E851BF"/>
    <w:rsid w:val="00E85443"/>
    <w:rsid w:val="00E855A3"/>
    <w:rsid w:val="00E85844"/>
    <w:rsid w:val="00E8591F"/>
    <w:rsid w:val="00E85AFF"/>
    <w:rsid w:val="00E8604D"/>
    <w:rsid w:val="00E860EB"/>
    <w:rsid w:val="00E86245"/>
    <w:rsid w:val="00E863E5"/>
    <w:rsid w:val="00E865D3"/>
    <w:rsid w:val="00E867C8"/>
    <w:rsid w:val="00E86C82"/>
    <w:rsid w:val="00E86DFB"/>
    <w:rsid w:val="00E875A2"/>
    <w:rsid w:val="00E87752"/>
    <w:rsid w:val="00E87878"/>
    <w:rsid w:val="00E90051"/>
    <w:rsid w:val="00E900C1"/>
    <w:rsid w:val="00E90408"/>
    <w:rsid w:val="00E905D9"/>
    <w:rsid w:val="00E90A9E"/>
    <w:rsid w:val="00E90B7E"/>
    <w:rsid w:val="00E90ED1"/>
    <w:rsid w:val="00E911EA"/>
    <w:rsid w:val="00E916FA"/>
    <w:rsid w:val="00E9174D"/>
    <w:rsid w:val="00E917AC"/>
    <w:rsid w:val="00E91EEA"/>
    <w:rsid w:val="00E91F62"/>
    <w:rsid w:val="00E92108"/>
    <w:rsid w:val="00E92312"/>
    <w:rsid w:val="00E925E4"/>
    <w:rsid w:val="00E92B17"/>
    <w:rsid w:val="00E92E5F"/>
    <w:rsid w:val="00E93301"/>
    <w:rsid w:val="00E936D2"/>
    <w:rsid w:val="00E938D9"/>
    <w:rsid w:val="00E93A76"/>
    <w:rsid w:val="00E93C6D"/>
    <w:rsid w:val="00E93CA3"/>
    <w:rsid w:val="00E942BA"/>
    <w:rsid w:val="00E94309"/>
    <w:rsid w:val="00E943CC"/>
    <w:rsid w:val="00E94659"/>
    <w:rsid w:val="00E9474A"/>
    <w:rsid w:val="00E94D26"/>
    <w:rsid w:val="00E94F78"/>
    <w:rsid w:val="00E94F94"/>
    <w:rsid w:val="00E95180"/>
    <w:rsid w:val="00E95570"/>
    <w:rsid w:val="00E956CB"/>
    <w:rsid w:val="00E95B3E"/>
    <w:rsid w:val="00E95DD6"/>
    <w:rsid w:val="00E95F81"/>
    <w:rsid w:val="00E96271"/>
    <w:rsid w:val="00E9636D"/>
    <w:rsid w:val="00E9666D"/>
    <w:rsid w:val="00E966D2"/>
    <w:rsid w:val="00E968D3"/>
    <w:rsid w:val="00E969D0"/>
    <w:rsid w:val="00E96C13"/>
    <w:rsid w:val="00E96FCE"/>
    <w:rsid w:val="00E972AC"/>
    <w:rsid w:val="00E9737F"/>
    <w:rsid w:val="00E973BC"/>
    <w:rsid w:val="00E977BE"/>
    <w:rsid w:val="00E977E4"/>
    <w:rsid w:val="00E97804"/>
    <w:rsid w:val="00E97819"/>
    <w:rsid w:val="00E9784C"/>
    <w:rsid w:val="00E979F0"/>
    <w:rsid w:val="00E97A04"/>
    <w:rsid w:val="00E97A82"/>
    <w:rsid w:val="00E97D21"/>
    <w:rsid w:val="00E97EB8"/>
    <w:rsid w:val="00EA00FB"/>
    <w:rsid w:val="00EA0615"/>
    <w:rsid w:val="00EA0A0C"/>
    <w:rsid w:val="00EA0D20"/>
    <w:rsid w:val="00EA0E01"/>
    <w:rsid w:val="00EA0E73"/>
    <w:rsid w:val="00EA0FA0"/>
    <w:rsid w:val="00EA106F"/>
    <w:rsid w:val="00EA11A3"/>
    <w:rsid w:val="00EA1293"/>
    <w:rsid w:val="00EA131D"/>
    <w:rsid w:val="00EA16B7"/>
    <w:rsid w:val="00EA16E4"/>
    <w:rsid w:val="00EA1F73"/>
    <w:rsid w:val="00EA22A1"/>
    <w:rsid w:val="00EA22D5"/>
    <w:rsid w:val="00EA23B5"/>
    <w:rsid w:val="00EA23C2"/>
    <w:rsid w:val="00EA270E"/>
    <w:rsid w:val="00EA2A70"/>
    <w:rsid w:val="00EA2F21"/>
    <w:rsid w:val="00EA3192"/>
    <w:rsid w:val="00EA32E7"/>
    <w:rsid w:val="00EA3368"/>
    <w:rsid w:val="00EA35CF"/>
    <w:rsid w:val="00EA36BD"/>
    <w:rsid w:val="00EA3841"/>
    <w:rsid w:val="00EA39D7"/>
    <w:rsid w:val="00EA39EE"/>
    <w:rsid w:val="00EA3AF2"/>
    <w:rsid w:val="00EA3BCC"/>
    <w:rsid w:val="00EA3CB4"/>
    <w:rsid w:val="00EA3E44"/>
    <w:rsid w:val="00EA3FB5"/>
    <w:rsid w:val="00EA43BA"/>
    <w:rsid w:val="00EA4495"/>
    <w:rsid w:val="00EA460A"/>
    <w:rsid w:val="00EA4643"/>
    <w:rsid w:val="00EA48D2"/>
    <w:rsid w:val="00EA4BD2"/>
    <w:rsid w:val="00EA4F8D"/>
    <w:rsid w:val="00EA5600"/>
    <w:rsid w:val="00EA58FD"/>
    <w:rsid w:val="00EA59F1"/>
    <w:rsid w:val="00EA5A0A"/>
    <w:rsid w:val="00EA5B21"/>
    <w:rsid w:val="00EA5B5F"/>
    <w:rsid w:val="00EA5D67"/>
    <w:rsid w:val="00EA61D9"/>
    <w:rsid w:val="00EA638F"/>
    <w:rsid w:val="00EA645E"/>
    <w:rsid w:val="00EA6513"/>
    <w:rsid w:val="00EA6BE2"/>
    <w:rsid w:val="00EA6F0A"/>
    <w:rsid w:val="00EA71E8"/>
    <w:rsid w:val="00EA73D7"/>
    <w:rsid w:val="00EA75E5"/>
    <w:rsid w:val="00EB01F2"/>
    <w:rsid w:val="00EB0415"/>
    <w:rsid w:val="00EB07DA"/>
    <w:rsid w:val="00EB085D"/>
    <w:rsid w:val="00EB085E"/>
    <w:rsid w:val="00EB09E2"/>
    <w:rsid w:val="00EB0A08"/>
    <w:rsid w:val="00EB0A9A"/>
    <w:rsid w:val="00EB0EDC"/>
    <w:rsid w:val="00EB164C"/>
    <w:rsid w:val="00EB1865"/>
    <w:rsid w:val="00EB1C6A"/>
    <w:rsid w:val="00EB1D21"/>
    <w:rsid w:val="00EB1DF5"/>
    <w:rsid w:val="00EB2027"/>
    <w:rsid w:val="00EB214E"/>
    <w:rsid w:val="00EB32D9"/>
    <w:rsid w:val="00EB362F"/>
    <w:rsid w:val="00EB394F"/>
    <w:rsid w:val="00EB3AE1"/>
    <w:rsid w:val="00EB4172"/>
    <w:rsid w:val="00EB41D8"/>
    <w:rsid w:val="00EB436F"/>
    <w:rsid w:val="00EB4708"/>
    <w:rsid w:val="00EB48BB"/>
    <w:rsid w:val="00EB49C4"/>
    <w:rsid w:val="00EB49F4"/>
    <w:rsid w:val="00EB4A8B"/>
    <w:rsid w:val="00EB4E5A"/>
    <w:rsid w:val="00EB5363"/>
    <w:rsid w:val="00EB553B"/>
    <w:rsid w:val="00EB6313"/>
    <w:rsid w:val="00EB6512"/>
    <w:rsid w:val="00EB6615"/>
    <w:rsid w:val="00EB6DE4"/>
    <w:rsid w:val="00EB6F80"/>
    <w:rsid w:val="00EB7136"/>
    <w:rsid w:val="00EB71CD"/>
    <w:rsid w:val="00EB74CF"/>
    <w:rsid w:val="00EB7668"/>
    <w:rsid w:val="00EB7808"/>
    <w:rsid w:val="00EB7C08"/>
    <w:rsid w:val="00EB7EEE"/>
    <w:rsid w:val="00EB7F99"/>
    <w:rsid w:val="00EB7FD2"/>
    <w:rsid w:val="00EC00C6"/>
    <w:rsid w:val="00EC0164"/>
    <w:rsid w:val="00EC0475"/>
    <w:rsid w:val="00EC0CBF"/>
    <w:rsid w:val="00EC0E50"/>
    <w:rsid w:val="00EC1B03"/>
    <w:rsid w:val="00EC2241"/>
    <w:rsid w:val="00EC227D"/>
    <w:rsid w:val="00EC2EE0"/>
    <w:rsid w:val="00EC3187"/>
    <w:rsid w:val="00EC3247"/>
    <w:rsid w:val="00EC367D"/>
    <w:rsid w:val="00EC36E9"/>
    <w:rsid w:val="00EC3BCB"/>
    <w:rsid w:val="00EC40D1"/>
    <w:rsid w:val="00EC4119"/>
    <w:rsid w:val="00EC4831"/>
    <w:rsid w:val="00EC492E"/>
    <w:rsid w:val="00EC4FFB"/>
    <w:rsid w:val="00EC5039"/>
    <w:rsid w:val="00EC5064"/>
    <w:rsid w:val="00EC53C6"/>
    <w:rsid w:val="00EC5556"/>
    <w:rsid w:val="00EC561B"/>
    <w:rsid w:val="00EC563D"/>
    <w:rsid w:val="00EC5918"/>
    <w:rsid w:val="00EC598E"/>
    <w:rsid w:val="00EC5D0F"/>
    <w:rsid w:val="00EC6619"/>
    <w:rsid w:val="00EC6C02"/>
    <w:rsid w:val="00EC6C15"/>
    <w:rsid w:val="00EC6D0B"/>
    <w:rsid w:val="00EC6EB9"/>
    <w:rsid w:val="00EC71A5"/>
    <w:rsid w:val="00EC71D0"/>
    <w:rsid w:val="00EC76EC"/>
    <w:rsid w:val="00EC7EDD"/>
    <w:rsid w:val="00EC7F60"/>
    <w:rsid w:val="00ED0311"/>
    <w:rsid w:val="00ED04DA"/>
    <w:rsid w:val="00ED0751"/>
    <w:rsid w:val="00ED0AD1"/>
    <w:rsid w:val="00ED1183"/>
    <w:rsid w:val="00ED13C4"/>
    <w:rsid w:val="00ED1434"/>
    <w:rsid w:val="00ED158F"/>
    <w:rsid w:val="00ED19CF"/>
    <w:rsid w:val="00ED1BE2"/>
    <w:rsid w:val="00ED1D77"/>
    <w:rsid w:val="00ED1FD0"/>
    <w:rsid w:val="00ED2077"/>
    <w:rsid w:val="00ED2265"/>
    <w:rsid w:val="00ED22AB"/>
    <w:rsid w:val="00ED2519"/>
    <w:rsid w:val="00ED2853"/>
    <w:rsid w:val="00ED2A17"/>
    <w:rsid w:val="00ED2CC5"/>
    <w:rsid w:val="00ED2D64"/>
    <w:rsid w:val="00ED2F4B"/>
    <w:rsid w:val="00ED30E4"/>
    <w:rsid w:val="00ED383C"/>
    <w:rsid w:val="00ED38C5"/>
    <w:rsid w:val="00ED390F"/>
    <w:rsid w:val="00ED39BD"/>
    <w:rsid w:val="00ED3A93"/>
    <w:rsid w:val="00ED3C8A"/>
    <w:rsid w:val="00ED3D80"/>
    <w:rsid w:val="00ED4204"/>
    <w:rsid w:val="00ED4596"/>
    <w:rsid w:val="00ED473B"/>
    <w:rsid w:val="00ED47E8"/>
    <w:rsid w:val="00ED49FE"/>
    <w:rsid w:val="00ED4DCB"/>
    <w:rsid w:val="00ED4E01"/>
    <w:rsid w:val="00ED4EE9"/>
    <w:rsid w:val="00ED502C"/>
    <w:rsid w:val="00ED54FB"/>
    <w:rsid w:val="00ED5730"/>
    <w:rsid w:val="00ED58B2"/>
    <w:rsid w:val="00ED6077"/>
    <w:rsid w:val="00ED615A"/>
    <w:rsid w:val="00ED6279"/>
    <w:rsid w:val="00ED6333"/>
    <w:rsid w:val="00ED653C"/>
    <w:rsid w:val="00ED6A56"/>
    <w:rsid w:val="00ED6B34"/>
    <w:rsid w:val="00ED7479"/>
    <w:rsid w:val="00ED7960"/>
    <w:rsid w:val="00ED7979"/>
    <w:rsid w:val="00ED7D0B"/>
    <w:rsid w:val="00EE0089"/>
    <w:rsid w:val="00EE07A2"/>
    <w:rsid w:val="00EE085F"/>
    <w:rsid w:val="00EE0EDF"/>
    <w:rsid w:val="00EE0F4D"/>
    <w:rsid w:val="00EE1901"/>
    <w:rsid w:val="00EE19BF"/>
    <w:rsid w:val="00EE1A61"/>
    <w:rsid w:val="00EE1BF8"/>
    <w:rsid w:val="00EE27A3"/>
    <w:rsid w:val="00EE2B06"/>
    <w:rsid w:val="00EE2B9C"/>
    <w:rsid w:val="00EE2C9A"/>
    <w:rsid w:val="00EE2CFB"/>
    <w:rsid w:val="00EE3271"/>
    <w:rsid w:val="00EE3300"/>
    <w:rsid w:val="00EE365F"/>
    <w:rsid w:val="00EE3CA5"/>
    <w:rsid w:val="00EE3D6C"/>
    <w:rsid w:val="00EE48FF"/>
    <w:rsid w:val="00EE4A5C"/>
    <w:rsid w:val="00EE4B01"/>
    <w:rsid w:val="00EE4B67"/>
    <w:rsid w:val="00EE4CF6"/>
    <w:rsid w:val="00EE4D61"/>
    <w:rsid w:val="00EE4DB1"/>
    <w:rsid w:val="00EE4F39"/>
    <w:rsid w:val="00EE4F6A"/>
    <w:rsid w:val="00EE5173"/>
    <w:rsid w:val="00EE5476"/>
    <w:rsid w:val="00EE5C34"/>
    <w:rsid w:val="00EE660C"/>
    <w:rsid w:val="00EE66AE"/>
    <w:rsid w:val="00EE67CA"/>
    <w:rsid w:val="00EE695A"/>
    <w:rsid w:val="00EE6F11"/>
    <w:rsid w:val="00EE700B"/>
    <w:rsid w:val="00EE71AC"/>
    <w:rsid w:val="00EE71AE"/>
    <w:rsid w:val="00EE7264"/>
    <w:rsid w:val="00EE73DD"/>
    <w:rsid w:val="00EE77F1"/>
    <w:rsid w:val="00EE79D0"/>
    <w:rsid w:val="00EE7DCC"/>
    <w:rsid w:val="00EE7E78"/>
    <w:rsid w:val="00EF0618"/>
    <w:rsid w:val="00EF0871"/>
    <w:rsid w:val="00EF0B65"/>
    <w:rsid w:val="00EF10E3"/>
    <w:rsid w:val="00EF1204"/>
    <w:rsid w:val="00EF1207"/>
    <w:rsid w:val="00EF163A"/>
    <w:rsid w:val="00EF1887"/>
    <w:rsid w:val="00EF18BF"/>
    <w:rsid w:val="00EF1B5D"/>
    <w:rsid w:val="00EF1F43"/>
    <w:rsid w:val="00EF244D"/>
    <w:rsid w:val="00EF2689"/>
    <w:rsid w:val="00EF2A2E"/>
    <w:rsid w:val="00EF2A3B"/>
    <w:rsid w:val="00EF2B41"/>
    <w:rsid w:val="00EF2EBC"/>
    <w:rsid w:val="00EF3336"/>
    <w:rsid w:val="00EF3763"/>
    <w:rsid w:val="00EF379B"/>
    <w:rsid w:val="00EF385E"/>
    <w:rsid w:val="00EF39B1"/>
    <w:rsid w:val="00EF3D24"/>
    <w:rsid w:val="00EF41B7"/>
    <w:rsid w:val="00EF428B"/>
    <w:rsid w:val="00EF4458"/>
    <w:rsid w:val="00EF45FA"/>
    <w:rsid w:val="00EF46BD"/>
    <w:rsid w:val="00EF4825"/>
    <w:rsid w:val="00EF4ADB"/>
    <w:rsid w:val="00EF4B30"/>
    <w:rsid w:val="00EF4D4F"/>
    <w:rsid w:val="00EF4DE1"/>
    <w:rsid w:val="00EF5265"/>
    <w:rsid w:val="00EF5385"/>
    <w:rsid w:val="00EF5966"/>
    <w:rsid w:val="00EF5BB2"/>
    <w:rsid w:val="00EF5CFC"/>
    <w:rsid w:val="00EF5DBC"/>
    <w:rsid w:val="00EF5EF5"/>
    <w:rsid w:val="00EF639B"/>
    <w:rsid w:val="00EF69EC"/>
    <w:rsid w:val="00EF6D2A"/>
    <w:rsid w:val="00EF7025"/>
    <w:rsid w:val="00EF703D"/>
    <w:rsid w:val="00EF7CA8"/>
    <w:rsid w:val="00F0019E"/>
    <w:rsid w:val="00F00276"/>
    <w:rsid w:val="00F00418"/>
    <w:rsid w:val="00F004EA"/>
    <w:rsid w:val="00F007DB"/>
    <w:rsid w:val="00F00C7A"/>
    <w:rsid w:val="00F00D2D"/>
    <w:rsid w:val="00F00F47"/>
    <w:rsid w:val="00F01020"/>
    <w:rsid w:val="00F01458"/>
    <w:rsid w:val="00F016B0"/>
    <w:rsid w:val="00F017FF"/>
    <w:rsid w:val="00F0182F"/>
    <w:rsid w:val="00F01C15"/>
    <w:rsid w:val="00F01C20"/>
    <w:rsid w:val="00F021D7"/>
    <w:rsid w:val="00F023EA"/>
    <w:rsid w:val="00F02720"/>
    <w:rsid w:val="00F029EF"/>
    <w:rsid w:val="00F02B59"/>
    <w:rsid w:val="00F02C5E"/>
    <w:rsid w:val="00F02D71"/>
    <w:rsid w:val="00F02D7F"/>
    <w:rsid w:val="00F03019"/>
    <w:rsid w:val="00F031B6"/>
    <w:rsid w:val="00F03AFA"/>
    <w:rsid w:val="00F03EEB"/>
    <w:rsid w:val="00F040A1"/>
    <w:rsid w:val="00F04133"/>
    <w:rsid w:val="00F04342"/>
    <w:rsid w:val="00F043E7"/>
    <w:rsid w:val="00F048EF"/>
    <w:rsid w:val="00F04C31"/>
    <w:rsid w:val="00F04C49"/>
    <w:rsid w:val="00F0500B"/>
    <w:rsid w:val="00F05464"/>
    <w:rsid w:val="00F056E1"/>
    <w:rsid w:val="00F057F0"/>
    <w:rsid w:val="00F05DE6"/>
    <w:rsid w:val="00F0604F"/>
    <w:rsid w:val="00F065E2"/>
    <w:rsid w:val="00F06805"/>
    <w:rsid w:val="00F06807"/>
    <w:rsid w:val="00F06F41"/>
    <w:rsid w:val="00F07055"/>
    <w:rsid w:val="00F072F0"/>
    <w:rsid w:val="00F0756E"/>
    <w:rsid w:val="00F07573"/>
    <w:rsid w:val="00F07624"/>
    <w:rsid w:val="00F07B08"/>
    <w:rsid w:val="00F07B75"/>
    <w:rsid w:val="00F07BDE"/>
    <w:rsid w:val="00F07F54"/>
    <w:rsid w:val="00F07FAE"/>
    <w:rsid w:val="00F101A4"/>
    <w:rsid w:val="00F10341"/>
    <w:rsid w:val="00F10704"/>
    <w:rsid w:val="00F10730"/>
    <w:rsid w:val="00F107F7"/>
    <w:rsid w:val="00F1089C"/>
    <w:rsid w:val="00F1098D"/>
    <w:rsid w:val="00F10A39"/>
    <w:rsid w:val="00F111BA"/>
    <w:rsid w:val="00F111FA"/>
    <w:rsid w:val="00F1126C"/>
    <w:rsid w:val="00F115BD"/>
    <w:rsid w:val="00F119AB"/>
    <w:rsid w:val="00F11B75"/>
    <w:rsid w:val="00F11C8B"/>
    <w:rsid w:val="00F11D77"/>
    <w:rsid w:val="00F12272"/>
    <w:rsid w:val="00F123B8"/>
    <w:rsid w:val="00F1243F"/>
    <w:rsid w:val="00F12C1D"/>
    <w:rsid w:val="00F12E21"/>
    <w:rsid w:val="00F12E36"/>
    <w:rsid w:val="00F12FCD"/>
    <w:rsid w:val="00F13148"/>
    <w:rsid w:val="00F13332"/>
    <w:rsid w:val="00F134F4"/>
    <w:rsid w:val="00F13F15"/>
    <w:rsid w:val="00F1405E"/>
    <w:rsid w:val="00F140A9"/>
    <w:rsid w:val="00F140D8"/>
    <w:rsid w:val="00F147A7"/>
    <w:rsid w:val="00F14905"/>
    <w:rsid w:val="00F14C8A"/>
    <w:rsid w:val="00F15080"/>
    <w:rsid w:val="00F15864"/>
    <w:rsid w:val="00F158D8"/>
    <w:rsid w:val="00F15ABE"/>
    <w:rsid w:val="00F15E0D"/>
    <w:rsid w:val="00F15EFF"/>
    <w:rsid w:val="00F16270"/>
    <w:rsid w:val="00F1630D"/>
    <w:rsid w:val="00F16873"/>
    <w:rsid w:val="00F168C4"/>
    <w:rsid w:val="00F16B39"/>
    <w:rsid w:val="00F16C41"/>
    <w:rsid w:val="00F16C88"/>
    <w:rsid w:val="00F16E07"/>
    <w:rsid w:val="00F16ED8"/>
    <w:rsid w:val="00F17A65"/>
    <w:rsid w:val="00F17A7F"/>
    <w:rsid w:val="00F17C68"/>
    <w:rsid w:val="00F17C92"/>
    <w:rsid w:val="00F2017C"/>
    <w:rsid w:val="00F2121A"/>
    <w:rsid w:val="00F21597"/>
    <w:rsid w:val="00F215C6"/>
    <w:rsid w:val="00F21700"/>
    <w:rsid w:val="00F2182A"/>
    <w:rsid w:val="00F21882"/>
    <w:rsid w:val="00F21AC6"/>
    <w:rsid w:val="00F21B31"/>
    <w:rsid w:val="00F2231C"/>
    <w:rsid w:val="00F22871"/>
    <w:rsid w:val="00F22E93"/>
    <w:rsid w:val="00F22F6D"/>
    <w:rsid w:val="00F23086"/>
    <w:rsid w:val="00F232FF"/>
    <w:rsid w:val="00F235D3"/>
    <w:rsid w:val="00F237AB"/>
    <w:rsid w:val="00F237B7"/>
    <w:rsid w:val="00F2394F"/>
    <w:rsid w:val="00F239D7"/>
    <w:rsid w:val="00F23B86"/>
    <w:rsid w:val="00F23CC0"/>
    <w:rsid w:val="00F23D3F"/>
    <w:rsid w:val="00F23F7D"/>
    <w:rsid w:val="00F24151"/>
    <w:rsid w:val="00F2420C"/>
    <w:rsid w:val="00F24232"/>
    <w:rsid w:val="00F242C4"/>
    <w:rsid w:val="00F243DB"/>
    <w:rsid w:val="00F2446D"/>
    <w:rsid w:val="00F248C7"/>
    <w:rsid w:val="00F24CF4"/>
    <w:rsid w:val="00F24F4C"/>
    <w:rsid w:val="00F24F7D"/>
    <w:rsid w:val="00F24FD3"/>
    <w:rsid w:val="00F256E5"/>
    <w:rsid w:val="00F259C1"/>
    <w:rsid w:val="00F25C7B"/>
    <w:rsid w:val="00F25E82"/>
    <w:rsid w:val="00F2669E"/>
    <w:rsid w:val="00F26798"/>
    <w:rsid w:val="00F26908"/>
    <w:rsid w:val="00F26A13"/>
    <w:rsid w:val="00F26B43"/>
    <w:rsid w:val="00F26D52"/>
    <w:rsid w:val="00F26F46"/>
    <w:rsid w:val="00F27206"/>
    <w:rsid w:val="00F273CF"/>
    <w:rsid w:val="00F27CA3"/>
    <w:rsid w:val="00F27CAD"/>
    <w:rsid w:val="00F27EDA"/>
    <w:rsid w:val="00F27EED"/>
    <w:rsid w:val="00F301DD"/>
    <w:rsid w:val="00F3044F"/>
    <w:rsid w:val="00F3059E"/>
    <w:rsid w:val="00F30EC9"/>
    <w:rsid w:val="00F31114"/>
    <w:rsid w:val="00F31621"/>
    <w:rsid w:val="00F320F3"/>
    <w:rsid w:val="00F32100"/>
    <w:rsid w:val="00F32152"/>
    <w:rsid w:val="00F326A6"/>
    <w:rsid w:val="00F32951"/>
    <w:rsid w:val="00F32CB5"/>
    <w:rsid w:val="00F331F4"/>
    <w:rsid w:val="00F33374"/>
    <w:rsid w:val="00F336DC"/>
    <w:rsid w:val="00F336E3"/>
    <w:rsid w:val="00F33866"/>
    <w:rsid w:val="00F33A74"/>
    <w:rsid w:val="00F33BD1"/>
    <w:rsid w:val="00F34561"/>
    <w:rsid w:val="00F34A16"/>
    <w:rsid w:val="00F34D69"/>
    <w:rsid w:val="00F34E17"/>
    <w:rsid w:val="00F34F37"/>
    <w:rsid w:val="00F350F2"/>
    <w:rsid w:val="00F35178"/>
    <w:rsid w:val="00F35331"/>
    <w:rsid w:val="00F353F7"/>
    <w:rsid w:val="00F35A6A"/>
    <w:rsid w:val="00F35A82"/>
    <w:rsid w:val="00F35B7C"/>
    <w:rsid w:val="00F35C3E"/>
    <w:rsid w:val="00F35E6A"/>
    <w:rsid w:val="00F36001"/>
    <w:rsid w:val="00F36393"/>
    <w:rsid w:val="00F364E8"/>
    <w:rsid w:val="00F3655B"/>
    <w:rsid w:val="00F3677A"/>
    <w:rsid w:val="00F3681A"/>
    <w:rsid w:val="00F36833"/>
    <w:rsid w:val="00F369B8"/>
    <w:rsid w:val="00F36CB7"/>
    <w:rsid w:val="00F36D1E"/>
    <w:rsid w:val="00F37078"/>
    <w:rsid w:val="00F3730C"/>
    <w:rsid w:val="00F37D3B"/>
    <w:rsid w:val="00F37F80"/>
    <w:rsid w:val="00F40525"/>
    <w:rsid w:val="00F40865"/>
    <w:rsid w:val="00F413BD"/>
    <w:rsid w:val="00F41414"/>
    <w:rsid w:val="00F41484"/>
    <w:rsid w:val="00F41827"/>
    <w:rsid w:val="00F41983"/>
    <w:rsid w:val="00F41DC2"/>
    <w:rsid w:val="00F41FF9"/>
    <w:rsid w:val="00F421EE"/>
    <w:rsid w:val="00F422A5"/>
    <w:rsid w:val="00F424BD"/>
    <w:rsid w:val="00F42C1E"/>
    <w:rsid w:val="00F4310E"/>
    <w:rsid w:val="00F4320C"/>
    <w:rsid w:val="00F435F6"/>
    <w:rsid w:val="00F43876"/>
    <w:rsid w:val="00F438A9"/>
    <w:rsid w:val="00F438B9"/>
    <w:rsid w:val="00F43BED"/>
    <w:rsid w:val="00F43CF3"/>
    <w:rsid w:val="00F43D56"/>
    <w:rsid w:val="00F43EC9"/>
    <w:rsid w:val="00F43F01"/>
    <w:rsid w:val="00F447FA"/>
    <w:rsid w:val="00F44D23"/>
    <w:rsid w:val="00F44E0A"/>
    <w:rsid w:val="00F45122"/>
    <w:rsid w:val="00F45188"/>
    <w:rsid w:val="00F453AA"/>
    <w:rsid w:val="00F45591"/>
    <w:rsid w:val="00F457AA"/>
    <w:rsid w:val="00F45A36"/>
    <w:rsid w:val="00F45BA0"/>
    <w:rsid w:val="00F45BA8"/>
    <w:rsid w:val="00F460BE"/>
    <w:rsid w:val="00F46111"/>
    <w:rsid w:val="00F46185"/>
    <w:rsid w:val="00F46AB2"/>
    <w:rsid w:val="00F46B12"/>
    <w:rsid w:val="00F46E0F"/>
    <w:rsid w:val="00F46FD1"/>
    <w:rsid w:val="00F4726B"/>
    <w:rsid w:val="00F47ACD"/>
    <w:rsid w:val="00F47B40"/>
    <w:rsid w:val="00F47E74"/>
    <w:rsid w:val="00F47F81"/>
    <w:rsid w:val="00F50095"/>
    <w:rsid w:val="00F503EC"/>
    <w:rsid w:val="00F50764"/>
    <w:rsid w:val="00F508DA"/>
    <w:rsid w:val="00F51026"/>
    <w:rsid w:val="00F5112D"/>
    <w:rsid w:val="00F514EB"/>
    <w:rsid w:val="00F51722"/>
    <w:rsid w:val="00F51833"/>
    <w:rsid w:val="00F51ACA"/>
    <w:rsid w:val="00F51E45"/>
    <w:rsid w:val="00F5290C"/>
    <w:rsid w:val="00F52BC6"/>
    <w:rsid w:val="00F53234"/>
    <w:rsid w:val="00F53434"/>
    <w:rsid w:val="00F5345E"/>
    <w:rsid w:val="00F539CC"/>
    <w:rsid w:val="00F53ADA"/>
    <w:rsid w:val="00F53C51"/>
    <w:rsid w:val="00F53C9D"/>
    <w:rsid w:val="00F53EE7"/>
    <w:rsid w:val="00F53F22"/>
    <w:rsid w:val="00F540D1"/>
    <w:rsid w:val="00F545D6"/>
    <w:rsid w:val="00F54BF4"/>
    <w:rsid w:val="00F55103"/>
    <w:rsid w:val="00F55117"/>
    <w:rsid w:val="00F551D9"/>
    <w:rsid w:val="00F55514"/>
    <w:rsid w:val="00F55A0E"/>
    <w:rsid w:val="00F55A3D"/>
    <w:rsid w:val="00F562B5"/>
    <w:rsid w:val="00F56773"/>
    <w:rsid w:val="00F567BC"/>
    <w:rsid w:val="00F56931"/>
    <w:rsid w:val="00F56BF8"/>
    <w:rsid w:val="00F56CB3"/>
    <w:rsid w:val="00F56DEF"/>
    <w:rsid w:val="00F57471"/>
    <w:rsid w:val="00F57AEF"/>
    <w:rsid w:val="00F57B23"/>
    <w:rsid w:val="00F600EA"/>
    <w:rsid w:val="00F60284"/>
    <w:rsid w:val="00F604F3"/>
    <w:rsid w:val="00F605B7"/>
    <w:rsid w:val="00F60646"/>
    <w:rsid w:val="00F607AA"/>
    <w:rsid w:val="00F609DD"/>
    <w:rsid w:val="00F60FC1"/>
    <w:rsid w:val="00F61130"/>
    <w:rsid w:val="00F61612"/>
    <w:rsid w:val="00F61852"/>
    <w:rsid w:val="00F61CD3"/>
    <w:rsid w:val="00F61CF4"/>
    <w:rsid w:val="00F61F23"/>
    <w:rsid w:val="00F6212A"/>
    <w:rsid w:val="00F6221F"/>
    <w:rsid w:val="00F62AB8"/>
    <w:rsid w:val="00F62FC7"/>
    <w:rsid w:val="00F63051"/>
    <w:rsid w:val="00F63079"/>
    <w:rsid w:val="00F63262"/>
    <w:rsid w:val="00F63357"/>
    <w:rsid w:val="00F634E4"/>
    <w:rsid w:val="00F63512"/>
    <w:rsid w:val="00F63AC8"/>
    <w:rsid w:val="00F63BC3"/>
    <w:rsid w:val="00F63D3E"/>
    <w:rsid w:val="00F63F44"/>
    <w:rsid w:val="00F64236"/>
    <w:rsid w:val="00F643BF"/>
    <w:rsid w:val="00F6452F"/>
    <w:rsid w:val="00F64B15"/>
    <w:rsid w:val="00F64BB1"/>
    <w:rsid w:val="00F64CCA"/>
    <w:rsid w:val="00F651E6"/>
    <w:rsid w:val="00F6584F"/>
    <w:rsid w:val="00F65C8B"/>
    <w:rsid w:val="00F66020"/>
    <w:rsid w:val="00F6602B"/>
    <w:rsid w:val="00F66072"/>
    <w:rsid w:val="00F660C5"/>
    <w:rsid w:val="00F660E8"/>
    <w:rsid w:val="00F662A2"/>
    <w:rsid w:val="00F66320"/>
    <w:rsid w:val="00F663AE"/>
    <w:rsid w:val="00F6668A"/>
    <w:rsid w:val="00F66747"/>
    <w:rsid w:val="00F66D67"/>
    <w:rsid w:val="00F66F35"/>
    <w:rsid w:val="00F670C1"/>
    <w:rsid w:val="00F675F5"/>
    <w:rsid w:val="00F677AF"/>
    <w:rsid w:val="00F677E4"/>
    <w:rsid w:val="00F678C8"/>
    <w:rsid w:val="00F6793E"/>
    <w:rsid w:val="00F67CBE"/>
    <w:rsid w:val="00F704D6"/>
    <w:rsid w:val="00F70858"/>
    <w:rsid w:val="00F70DE8"/>
    <w:rsid w:val="00F71209"/>
    <w:rsid w:val="00F71355"/>
    <w:rsid w:val="00F7149F"/>
    <w:rsid w:val="00F71582"/>
    <w:rsid w:val="00F71738"/>
    <w:rsid w:val="00F71DE1"/>
    <w:rsid w:val="00F71E2B"/>
    <w:rsid w:val="00F721A3"/>
    <w:rsid w:val="00F722B4"/>
    <w:rsid w:val="00F7236C"/>
    <w:rsid w:val="00F723A2"/>
    <w:rsid w:val="00F72764"/>
    <w:rsid w:val="00F727C9"/>
    <w:rsid w:val="00F72BC8"/>
    <w:rsid w:val="00F72D46"/>
    <w:rsid w:val="00F7300F"/>
    <w:rsid w:val="00F73130"/>
    <w:rsid w:val="00F73359"/>
    <w:rsid w:val="00F7340A"/>
    <w:rsid w:val="00F73420"/>
    <w:rsid w:val="00F73645"/>
    <w:rsid w:val="00F73761"/>
    <w:rsid w:val="00F73846"/>
    <w:rsid w:val="00F73AA7"/>
    <w:rsid w:val="00F73D40"/>
    <w:rsid w:val="00F74342"/>
    <w:rsid w:val="00F745ED"/>
    <w:rsid w:val="00F7463E"/>
    <w:rsid w:val="00F7470D"/>
    <w:rsid w:val="00F74B31"/>
    <w:rsid w:val="00F75048"/>
    <w:rsid w:val="00F75143"/>
    <w:rsid w:val="00F75C99"/>
    <w:rsid w:val="00F75DBC"/>
    <w:rsid w:val="00F761BE"/>
    <w:rsid w:val="00F76480"/>
    <w:rsid w:val="00F764AD"/>
    <w:rsid w:val="00F7679D"/>
    <w:rsid w:val="00F7683B"/>
    <w:rsid w:val="00F76A1C"/>
    <w:rsid w:val="00F76BD1"/>
    <w:rsid w:val="00F76CAB"/>
    <w:rsid w:val="00F76DBB"/>
    <w:rsid w:val="00F76E02"/>
    <w:rsid w:val="00F76E9F"/>
    <w:rsid w:val="00F7733E"/>
    <w:rsid w:val="00F77BF4"/>
    <w:rsid w:val="00F77D61"/>
    <w:rsid w:val="00F8005E"/>
    <w:rsid w:val="00F80209"/>
    <w:rsid w:val="00F80605"/>
    <w:rsid w:val="00F81672"/>
    <w:rsid w:val="00F817CC"/>
    <w:rsid w:val="00F818F4"/>
    <w:rsid w:val="00F81B7B"/>
    <w:rsid w:val="00F81C24"/>
    <w:rsid w:val="00F81F01"/>
    <w:rsid w:val="00F81F54"/>
    <w:rsid w:val="00F82095"/>
    <w:rsid w:val="00F82392"/>
    <w:rsid w:val="00F826DB"/>
    <w:rsid w:val="00F82740"/>
    <w:rsid w:val="00F82A39"/>
    <w:rsid w:val="00F83524"/>
    <w:rsid w:val="00F8363D"/>
    <w:rsid w:val="00F83803"/>
    <w:rsid w:val="00F83AE8"/>
    <w:rsid w:val="00F83DD0"/>
    <w:rsid w:val="00F83E70"/>
    <w:rsid w:val="00F8420E"/>
    <w:rsid w:val="00F843A9"/>
    <w:rsid w:val="00F844D1"/>
    <w:rsid w:val="00F84643"/>
    <w:rsid w:val="00F84857"/>
    <w:rsid w:val="00F8495B"/>
    <w:rsid w:val="00F84ABF"/>
    <w:rsid w:val="00F84C11"/>
    <w:rsid w:val="00F8518E"/>
    <w:rsid w:val="00F85309"/>
    <w:rsid w:val="00F853DC"/>
    <w:rsid w:val="00F85545"/>
    <w:rsid w:val="00F858BF"/>
    <w:rsid w:val="00F867F9"/>
    <w:rsid w:val="00F868F6"/>
    <w:rsid w:val="00F86A61"/>
    <w:rsid w:val="00F86AD0"/>
    <w:rsid w:val="00F86C52"/>
    <w:rsid w:val="00F87007"/>
    <w:rsid w:val="00F875FF"/>
    <w:rsid w:val="00F877A7"/>
    <w:rsid w:val="00F87B83"/>
    <w:rsid w:val="00F87C8E"/>
    <w:rsid w:val="00F87F0B"/>
    <w:rsid w:val="00F900C7"/>
    <w:rsid w:val="00F902EA"/>
    <w:rsid w:val="00F903D7"/>
    <w:rsid w:val="00F9054B"/>
    <w:rsid w:val="00F90B6F"/>
    <w:rsid w:val="00F90B7F"/>
    <w:rsid w:val="00F919DA"/>
    <w:rsid w:val="00F91B11"/>
    <w:rsid w:val="00F91EDE"/>
    <w:rsid w:val="00F923D4"/>
    <w:rsid w:val="00F9258C"/>
    <w:rsid w:val="00F925BF"/>
    <w:rsid w:val="00F92885"/>
    <w:rsid w:val="00F930DC"/>
    <w:rsid w:val="00F93143"/>
    <w:rsid w:val="00F934C1"/>
    <w:rsid w:val="00F934EF"/>
    <w:rsid w:val="00F9352F"/>
    <w:rsid w:val="00F9375F"/>
    <w:rsid w:val="00F93976"/>
    <w:rsid w:val="00F93C3A"/>
    <w:rsid w:val="00F93E53"/>
    <w:rsid w:val="00F93F0E"/>
    <w:rsid w:val="00F9421B"/>
    <w:rsid w:val="00F94241"/>
    <w:rsid w:val="00F942CF"/>
    <w:rsid w:val="00F94327"/>
    <w:rsid w:val="00F94962"/>
    <w:rsid w:val="00F94BB0"/>
    <w:rsid w:val="00F95037"/>
    <w:rsid w:val="00F950D4"/>
    <w:rsid w:val="00F95263"/>
    <w:rsid w:val="00F957A5"/>
    <w:rsid w:val="00F957D7"/>
    <w:rsid w:val="00F95ADF"/>
    <w:rsid w:val="00F95B79"/>
    <w:rsid w:val="00F95E87"/>
    <w:rsid w:val="00F95F7D"/>
    <w:rsid w:val="00F95FFE"/>
    <w:rsid w:val="00F96051"/>
    <w:rsid w:val="00F96075"/>
    <w:rsid w:val="00F9639F"/>
    <w:rsid w:val="00F963B4"/>
    <w:rsid w:val="00F966FC"/>
    <w:rsid w:val="00F9694F"/>
    <w:rsid w:val="00F96ADD"/>
    <w:rsid w:val="00F96D48"/>
    <w:rsid w:val="00F96D50"/>
    <w:rsid w:val="00F96EDE"/>
    <w:rsid w:val="00F96EF7"/>
    <w:rsid w:val="00F96F60"/>
    <w:rsid w:val="00F973F0"/>
    <w:rsid w:val="00F974D2"/>
    <w:rsid w:val="00F9752E"/>
    <w:rsid w:val="00F97656"/>
    <w:rsid w:val="00F97708"/>
    <w:rsid w:val="00F9793A"/>
    <w:rsid w:val="00F97C5A"/>
    <w:rsid w:val="00F97F02"/>
    <w:rsid w:val="00F97F5C"/>
    <w:rsid w:val="00FA00E5"/>
    <w:rsid w:val="00FA068D"/>
    <w:rsid w:val="00FA06BB"/>
    <w:rsid w:val="00FA08BE"/>
    <w:rsid w:val="00FA0B83"/>
    <w:rsid w:val="00FA0ECA"/>
    <w:rsid w:val="00FA0F02"/>
    <w:rsid w:val="00FA0F0C"/>
    <w:rsid w:val="00FA11A6"/>
    <w:rsid w:val="00FA11D1"/>
    <w:rsid w:val="00FA12A0"/>
    <w:rsid w:val="00FA1400"/>
    <w:rsid w:val="00FA1531"/>
    <w:rsid w:val="00FA1BCF"/>
    <w:rsid w:val="00FA1BF0"/>
    <w:rsid w:val="00FA1D6D"/>
    <w:rsid w:val="00FA1D7B"/>
    <w:rsid w:val="00FA212D"/>
    <w:rsid w:val="00FA239E"/>
    <w:rsid w:val="00FA267F"/>
    <w:rsid w:val="00FA2ECF"/>
    <w:rsid w:val="00FA3075"/>
    <w:rsid w:val="00FA322F"/>
    <w:rsid w:val="00FA3354"/>
    <w:rsid w:val="00FA36D3"/>
    <w:rsid w:val="00FA379F"/>
    <w:rsid w:val="00FA3A96"/>
    <w:rsid w:val="00FA3BCF"/>
    <w:rsid w:val="00FA3DC0"/>
    <w:rsid w:val="00FA3F80"/>
    <w:rsid w:val="00FA3F98"/>
    <w:rsid w:val="00FA40C1"/>
    <w:rsid w:val="00FA4148"/>
    <w:rsid w:val="00FA41AF"/>
    <w:rsid w:val="00FA426B"/>
    <w:rsid w:val="00FA438B"/>
    <w:rsid w:val="00FA44D9"/>
    <w:rsid w:val="00FA456B"/>
    <w:rsid w:val="00FA45B6"/>
    <w:rsid w:val="00FA461D"/>
    <w:rsid w:val="00FA4CEA"/>
    <w:rsid w:val="00FA4E92"/>
    <w:rsid w:val="00FA5479"/>
    <w:rsid w:val="00FA5857"/>
    <w:rsid w:val="00FA5C8D"/>
    <w:rsid w:val="00FA5DDB"/>
    <w:rsid w:val="00FA5DFF"/>
    <w:rsid w:val="00FA5FA9"/>
    <w:rsid w:val="00FA5FEE"/>
    <w:rsid w:val="00FA632F"/>
    <w:rsid w:val="00FA63C7"/>
    <w:rsid w:val="00FA6526"/>
    <w:rsid w:val="00FA65BD"/>
    <w:rsid w:val="00FA6962"/>
    <w:rsid w:val="00FA6C8F"/>
    <w:rsid w:val="00FA6E5F"/>
    <w:rsid w:val="00FA6F55"/>
    <w:rsid w:val="00FA718E"/>
    <w:rsid w:val="00FA72D0"/>
    <w:rsid w:val="00FA7697"/>
    <w:rsid w:val="00FA77EE"/>
    <w:rsid w:val="00FA786D"/>
    <w:rsid w:val="00FA7B30"/>
    <w:rsid w:val="00FA7D97"/>
    <w:rsid w:val="00FA7F93"/>
    <w:rsid w:val="00FA7FC6"/>
    <w:rsid w:val="00FB0061"/>
    <w:rsid w:val="00FB01A0"/>
    <w:rsid w:val="00FB0350"/>
    <w:rsid w:val="00FB03B4"/>
    <w:rsid w:val="00FB0572"/>
    <w:rsid w:val="00FB0792"/>
    <w:rsid w:val="00FB0A1F"/>
    <w:rsid w:val="00FB0A2D"/>
    <w:rsid w:val="00FB0C33"/>
    <w:rsid w:val="00FB0D7D"/>
    <w:rsid w:val="00FB16F1"/>
    <w:rsid w:val="00FB1D72"/>
    <w:rsid w:val="00FB1E81"/>
    <w:rsid w:val="00FB1EFF"/>
    <w:rsid w:val="00FB223F"/>
    <w:rsid w:val="00FB238F"/>
    <w:rsid w:val="00FB2486"/>
    <w:rsid w:val="00FB25F4"/>
    <w:rsid w:val="00FB2625"/>
    <w:rsid w:val="00FB2C99"/>
    <w:rsid w:val="00FB318A"/>
    <w:rsid w:val="00FB35DC"/>
    <w:rsid w:val="00FB3677"/>
    <w:rsid w:val="00FB3712"/>
    <w:rsid w:val="00FB3CC9"/>
    <w:rsid w:val="00FB3DE7"/>
    <w:rsid w:val="00FB3EC6"/>
    <w:rsid w:val="00FB41B9"/>
    <w:rsid w:val="00FB4494"/>
    <w:rsid w:val="00FB4649"/>
    <w:rsid w:val="00FB488C"/>
    <w:rsid w:val="00FB4911"/>
    <w:rsid w:val="00FB4960"/>
    <w:rsid w:val="00FB4F07"/>
    <w:rsid w:val="00FB5409"/>
    <w:rsid w:val="00FB564D"/>
    <w:rsid w:val="00FB5A9C"/>
    <w:rsid w:val="00FB5C67"/>
    <w:rsid w:val="00FB5E5E"/>
    <w:rsid w:val="00FB5F91"/>
    <w:rsid w:val="00FB65EF"/>
    <w:rsid w:val="00FB660A"/>
    <w:rsid w:val="00FB6809"/>
    <w:rsid w:val="00FB6896"/>
    <w:rsid w:val="00FB68AE"/>
    <w:rsid w:val="00FB69D8"/>
    <w:rsid w:val="00FB6E1A"/>
    <w:rsid w:val="00FB6E3C"/>
    <w:rsid w:val="00FB7004"/>
    <w:rsid w:val="00FC023A"/>
    <w:rsid w:val="00FC093A"/>
    <w:rsid w:val="00FC09A4"/>
    <w:rsid w:val="00FC0CBF"/>
    <w:rsid w:val="00FC0CC6"/>
    <w:rsid w:val="00FC0E3C"/>
    <w:rsid w:val="00FC111C"/>
    <w:rsid w:val="00FC1176"/>
    <w:rsid w:val="00FC1244"/>
    <w:rsid w:val="00FC182C"/>
    <w:rsid w:val="00FC1C8D"/>
    <w:rsid w:val="00FC1E86"/>
    <w:rsid w:val="00FC1EC1"/>
    <w:rsid w:val="00FC20B3"/>
    <w:rsid w:val="00FC20B7"/>
    <w:rsid w:val="00FC211B"/>
    <w:rsid w:val="00FC2150"/>
    <w:rsid w:val="00FC24DA"/>
    <w:rsid w:val="00FC2664"/>
    <w:rsid w:val="00FC2C16"/>
    <w:rsid w:val="00FC2DF2"/>
    <w:rsid w:val="00FC2F4D"/>
    <w:rsid w:val="00FC3184"/>
    <w:rsid w:val="00FC3200"/>
    <w:rsid w:val="00FC39B8"/>
    <w:rsid w:val="00FC3B01"/>
    <w:rsid w:val="00FC465E"/>
    <w:rsid w:val="00FC46CB"/>
    <w:rsid w:val="00FC487E"/>
    <w:rsid w:val="00FC48D9"/>
    <w:rsid w:val="00FC4CC6"/>
    <w:rsid w:val="00FC53F8"/>
    <w:rsid w:val="00FC59A3"/>
    <w:rsid w:val="00FC59CE"/>
    <w:rsid w:val="00FC5ADD"/>
    <w:rsid w:val="00FC5AED"/>
    <w:rsid w:val="00FC5BD1"/>
    <w:rsid w:val="00FC6047"/>
    <w:rsid w:val="00FC629F"/>
    <w:rsid w:val="00FC64F7"/>
    <w:rsid w:val="00FC6590"/>
    <w:rsid w:val="00FC6B0B"/>
    <w:rsid w:val="00FC6CB3"/>
    <w:rsid w:val="00FC6E5A"/>
    <w:rsid w:val="00FC6EED"/>
    <w:rsid w:val="00FC6FC8"/>
    <w:rsid w:val="00FC7056"/>
    <w:rsid w:val="00FC7316"/>
    <w:rsid w:val="00FC7654"/>
    <w:rsid w:val="00FC768C"/>
    <w:rsid w:val="00FC785D"/>
    <w:rsid w:val="00FC78DE"/>
    <w:rsid w:val="00FC7CD4"/>
    <w:rsid w:val="00FC7D5D"/>
    <w:rsid w:val="00FD0281"/>
    <w:rsid w:val="00FD033E"/>
    <w:rsid w:val="00FD0359"/>
    <w:rsid w:val="00FD036E"/>
    <w:rsid w:val="00FD0543"/>
    <w:rsid w:val="00FD05E3"/>
    <w:rsid w:val="00FD0A7A"/>
    <w:rsid w:val="00FD0B69"/>
    <w:rsid w:val="00FD11DD"/>
    <w:rsid w:val="00FD1655"/>
    <w:rsid w:val="00FD168E"/>
    <w:rsid w:val="00FD17D0"/>
    <w:rsid w:val="00FD18DF"/>
    <w:rsid w:val="00FD1D96"/>
    <w:rsid w:val="00FD1E5B"/>
    <w:rsid w:val="00FD237D"/>
    <w:rsid w:val="00FD2383"/>
    <w:rsid w:val="00FD2813"/>
    <w:rsid w:val="00FD2CB6"/>
    <w:rsid w:val="00FD2CE5"/>
    <w:rsid w:val="00FD3341"/>
    <w:rsid w:val="00FD34CC"/>
    <w:rsid w:val="00FD356B"/>
    <w:rsid w:val="00FD35AA"/>
    <w:rsid w:val="00FD3763"/>
    <w:rsid w:val="00FD398B"/>
    <w:rsid w:val="00FD3BE4"/>
    <w:rsid w:val="00FD3E5C"/>
    <w:rsid w:val="00FD411F"/>
    <w:rsid w:val="00FD419E"/>
    <w:rsid w:val="00FD4EE0"/>
    <w:rsid w:val="00FD4F37"/>
    <w:rsid w:val="00FD5031"/>
    <w:rsid w:val="00FD508E"/>
    <w:rsid w:val="00FD54C2"/>
    <w:rsid w:val="00FD60E1"/>
    <w:rsid w:val="00FD6738"/>
    <w:rsid w:val="00FD67CB"/>
    <w:rsid w:val="00FD6A4F"/>
    <w:rsid w:val="00FD6BCB"/>
    <w:rsid w:val="00FD71C4"/>
    <w:rsid w:val="00FD71F5"/>
    <w:rsid w:val="00FD72DF"/>
    <w:rsid w:val="00FD73E7"/>
    <w:rsid w:val="00FD76F4"/>
    <w:rsid w:val="00FD77A8"/>
    <w:rsid w:val="00FD77CD"/>
    <w:rsid w:val="00FD7A93"/>
    <w:rsid w:val="00FD7BB9"/>
    <w:rsid w:val="00FD7EA0"/>
    <w:rsid w:val="00FE0090"/>
    <w:rsid w:val="00FE02A2"/>
    <w:rsid w:val="00FE02D1"/>
    <w:rsid w:val="00FE07F6"/>
    <w:rsid w:val="00FE0DB7"/>
    <w:rsid w:val="00FE0DB8"/>
    <w:rsid w:val="00FE133E"/>
    <w:rsid w:val="00FE138A"/>
    <w:rsid w:val="00FE1712"/>
    <w:rsid w:val="00FE178A"/>
    <w:rsid w:val="00FE18B2"/>
    <w:rsid w:val="00FE1BFB"/>
    <w:rsid w:val="00FE1F5B"/>
    <w:rsid w:val="00FE204F"/>
    <w:rsid w:val="00FE2239"/>
    <w:rsid w:val="00FE2289"/>
    <w:rsid w:val="00FE252B"/>
    <w:rsid w:val="00FE2572"/>
    <w:rsid w:val="00FE259E"/>
    <w:rsid w:val="00FE2959"/>
    <w:rsid w:val="00FE2D54"/>
    <w:rsid w:val="00FE33E4"/>
    <w:rsid w:val="00FE3B5F"/>
    <w:rsid w:val="00FE3E17"/>
    <w:rsid w:val="00FE41BC"/>
    <w:rsid w:val="00FE41F9"/>
    <w:rsid w:val="00FE4248"/>
    <w:rsid w:val="00FE43DD"/>
    <w:rsid w:val="00FE46C2"/>
    <w:rsid w:val="00FE4836"/>
    <w:rsid w:val="00FE4C97"/>
    <w:rsid w:val="00FE4D1F"/>
    <w:rsid w:val="00FE4E1B"/>
    <w:rsid w:val="00FE57C9"/>
    <w:rsid w:val="00FE5911"/>
    <w:rsid w:val="00FE5B10"/>
    <w:rsid w:val="00FE5C7F"/>
    <w:rsid w:val="00FE5CAA"/>
    <w:rsid w:val="00FE5DE7"/>
    <w:rsid w:val="00FE5F08"/>
    <w:rsid w:val="00FE62A5"/>
    <w:rsid w:val="00FE64A5"/>
    <w:rsid w:val="00FE6DF5"/>
    <w:rsid w:val="00FE6E9B"/>
    <w:rsid w:val="00FE6FC5"/>
    <w:rsid w:val="00FE77F6"/>
    <w:rsid w:val="00FE78DB"/>
    <w:rsid w:val="00FE7C3F"/>
    <w:rsid w:val="00FE7FD8"/>
    <w:rsid w:val="00FF00D0"/>
    <w:rsid w:val="00FF0376"/>
    <w:rsid w:val="00FF0974"/>
    <w:rsid w:val="00FF0B0C"/>
    <w:rsid w:val="00FF0BC5"/>
    <w:rsid w:val="00FF0D00"/>
    <w:rsid w:val="00FF0DE4"/>
    <w:rsid w:val="00FF193D"/>
    <w:rsid w:val="00FF1975"/>
    <w:rsid w:val="00FF1B0C"/>
    <w:rsid w:val="00FF1F67"/>
    <w:rsid w:val="00FF20F5"/>
    <w:rsid w:val="00FF23E1"/>
    <w:rsid w:val="00FF24BA"/>
    <w:rsid w:val="00FF2525"/>
    <w:rsid w:val="00FF26A2"/>
    <w:rsid w:val="00FF26E0"/>
    <w:rsid w:val="00FF2721"/>
    <w:rsid w:val="00FF2768"/>
    <w:rsid w:val="00FF2908"/>
    <w:rsid w:val="00FF2933"/>
    <w:rsid w:val="00FF2939"/>
    <w:rsid w:val="00FF2DF7"/>
    <w:rsid w:val="00FF307B"/>
    <w:rsid w:val="00FF32FF"/>
    <w:rsid w:val="00FF330B"/>
    <w:rsid w:val="00FF3522"/>
    <w:rsid w:val="00FF42A2"/>
    <w:rsid w:val="00FF4B4C"/>
    <w:rsid w:val="00FF4C5A"/>
    <w:rsid w:val="00FF4F41"/>
    <w:rsid w:val="00FF4FE4"/>
    <w:rsid w:val="00FF55B6"/>
    <w:rsid w:val="00FF57A6"/>
    <w:rsid w:val="00FF5A95"/>
    <w:rsid w:val="00FF5B03"/>
    <w:rsid w:val="00FF5CB7"/>
    <w:rsid w:val="00FF5EBA"/>
    <w:rsid w:val="00FF621B"/>
    <w:rsid w:val="00FF66AB"/>
    <w:rsid w:val="00FF6987"/>
    <w:rsid w:val="00FF6B57"/>
    <w:rsid w:val="00FF6BC7"/>
    <w:rsid w:val="00FF6CAD"/>
    <w:rsid w:val="00FF7297"/>
    <w:rsid w:val="00FF7456"/>
    <w:rsid w:val="00FF76A4"/>
    <w:rsid w:val="00FF78CC"/>
    <w:rsid w:val="00FF7AF0"/>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6B"/>
    <w:rPr>
      <w:sz w:val="24"/>
      <w:szCs w:val="24"/>
      <w:lang w:eastAsia="ko-KR"/>
    </w:rPr>
  </w:style>
  <w:style w:type="paragraph" w:styleId="Heading1">
    <w:name w:val="heading 1"/>
    <w:basedOn w:val="Normal"/>
    <w:next w:val="Normal"/>
    <w:link w:val="Heading1Char"/>
    <w:uiPriority w:val="99"/>
    <w:qFormat/>
    <w:rsid w:val="0025709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B255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618F"/>
    <w:rPr>
      <w:rFonts w:ascii="Cambria" w:hAnsi="Cambria" w:cs="Cambria"/>
      <w:b/>
      <w:bCs/>
      <w:kern w:val="32"/>
      <w:sz w:val="32"/>
      <w:szCs w:val="32"/>
      <w:lang w:eastAsia="ko-KR"/>
    </w:rPr>
  </w:style>
  <w:style w:type="character" w:customStyle="1" w:styleId="Heading2Char">
    <w:name w:val="Heading 2 Char"/>
    <w:basedOn w:val="DefaultParagraphFont"/>
    <w:link w:val="Heading2"/>
    <w:uiPriority w:val="99"/>
    <w:semiHidden/>
    <w:locked/>
    <w:rsid w:val="005D618F"/>
    <w:rPr>
      <w:rFonts w:ascii="Cambria" w:hAnsi="Cambria" w:cs="Cambria"/>
      <w:b/>
      <w:bCs/>
      <w:i/>
      <w:iCs/>
      <w:sz w:val="28"/>
      <w:szCs w:val="28"/>
      <w:lang w:eastAsia="ko-KR"/>
    </w:rPr>
  </w:style>
  <w:style w:type="paragraph" w:styleId="BalloonText">
    <w:name w:val="Balloon Text"/>
    <w:basedOn w:val="Normal"/>
    <w:link w:val="BalloonTextChar"/>
    <w:uiPriority w:val="99"/>
    <w:semiHidden/>
    <w:rsid w:val="006C15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18F"/>
    <w:rPr>
      <w:sz w:val="2"/>
      <w:szCs w:val="2"/>
      <w:lang w:eastAsia="ko-KR"/>
    </w:rPr>
  </w:style>
  <w:style w:type="paragraph" w:styleId="NormalWeb">
    <w:name w:val="Normal (Web)"/>
    <w:basedOn w:val="Normal"/>
    <w:uiPriority w:val="99"/>
    <w:rsid w:val="006B2558"/>
    <w:pPr>
      <w:spacing w:before="100" w:beforeAutospacing="1" w:after="100" w:afterAutospacing="1"/>
    </w:pPr>
  </w:style>
  <w:style w:type="character" w:styleId="Hyperlink">
    <w:name w:val="Hyperlink"/>
    <w:basedOn w:val="DefaultParagraphFont"/>
    <w:uiPriority w:val="99"/>
    <w:rsid w:val="006B2558"/>
    <w:rPr>
      <w:color w:val="0000FF"/>
      <w:u w:val="single"/>
    </w:rPr>
  </w:style>
  <w:style w:type="character" w:customStyle="1" w:styleId="toctoggle">
    <w:name w:val="toctoggle"/>
    <w:basedOn w:val="DefaultParagraphFont"/>
    <w:uiPriority w:val="99"/>
    <w:rsid w:val="006B2558"/>
  </w:style>
  <w:style w:type="character" w:customStyle="1" w:styleId="tocnumber">
    <w:name w:val="tocnumber"/>
    <w:basedOn w:val="DefaultParagraphFont"/>
    <w:uiPriority w:val="99"/>
    <w:rsid w:val="006B2558"/>
  </w:style>
  <w:style w:type="character" w:customStyle="1" w:styleId="toctext">
    <w:name w:val="toctext"/>
    <w:basedOn w:val="DefaultParagraphFont"/>
    <w:uiPriority w:val="99"/>
    <w:rsid w:val="006B2558"/>
  </w:style>
  <w:style w:type="character" w:customStyle="1" w:styleId="editsection">
    <w:name w:val="editsection"/>
    <w:basedOn w:val="DefaultParagraphFont"/>
    <w:uiPriority w:val="99"/>
    <w:rsid w:val="006B2558"/>
  </w:style>
  <w:style w:type="character" w:customStyle="1" w:styleId="mw-headline">
    <w:name w:val="mw-headline"/>
    <w:basedOn w:val="DefaultParagraphFont"/>
    <w:uiPriority w:val="99"/>
    <w:rsid w:val="006B2558"/>
  </w:style>
  <w:style w:type="paragraph" w:styleId="BodyTextIndent">
    <w:name w:val="Body Text Indent"/>
    <w:basedOn w:val="Normal"/>
    <w:link w:val="BodyTextIndentChar"/>
    <w:uiPriority w:val="99"/>
    <w:rsid w:val="002F1158"/>
    <w:pPr>
      <w:autoSpaceDE w:val="0"/>
      <w:autoSpaceDN w:val="0"/>
      <w:adjustRightInd w:val="0"/>
      <w:spacing w:line="480" w:lineRule="auto"/>
      <w:ind w:firstLine="720"/>
    </w:pPr>
    <w:rPr>
      <w:lang w:eastAsia="en-US"/>
    </w:rPr>
  </w:style>
  <w:style w:type="character" w:customStyle="1" w:styleId="BodyTextIndentChar">
    <w:name w:val="Body Text Indent Char"/>
    <w:basedOn w:val="DefaultParagraphFont"/>
    <w:link w:val="BodyTextIndent"/>
    <w:uiPriority w:val="99"/>
    <w:semiHidden/>
    <w:locked/>
    <w:rsid w:val="005D618F"/>
    <w:rPr>
      <w:sz w:val="24"/>
      <w:szCs w:val="24"/>
      <w:lang w:eastAsia="ko-KR"/>
    </w:rPr>
  </w:style>
  <w:style w:type="paragraph" w:styleId="FootnoteText">
    <w:name w:val="footnote text"/>
    <w:basedOn w:val="Normal"/>
    <w:link w:val="FootnoteTextChar"/>
    <w:uiPriority w:val="99"/>
    <w:semiHidden/>
    <w:rsid w:val="00F17C68"/>
    <w:rPr>
      <w:sz w:val="20"/>
      <w:szCs w:val="20"/>
    </w:rPr>
  </w:style>
  <w:style w:type="character" w:customStyle="1" w:styleId="FootnoteTextChar">
    <w:name w:val="Footnote Text Char"/>
    <w:basedOn w:val="DefaultParagraphFont"/>
    <w:link w:val="FootnoteText"/>
    <w:uiPriority w:val="99"/>
    <w:semiHidden/>
    <w:locked/>
    <w:rsid w:val="005D618F"/>
    <w:rPr>
      <w:sz w:val="20"/>
      <w:szCs w:val="20"/>
      <w:lang w:eastAsia="ko-KR"/>
    </w:rPr>
  </w:style>
  <w:style w:type="character" w:styleId="FootnoteReference">
    <w:name w:val="footnote reference"/>
    <w:basedOn w:val="DefaultParagraphFont"/>
    <w:uiPriority w:val="99"/>
    <w:semiHidden/>
    <w:rsid w:val="00F17C68"/>
    <w:rPr>
      <w:vertAlign w:val="superscript"/>
    </w:rPr>
  </w:style>
  <w:style w:type="paragraph" w:customStyle="1" w:styleId="Default">
    <w:name w:val="Default"/>
    <w:rsid w:val="00BF16BF"/>
    <w:pPr>
      <w:autoSpaceDE w:val="0"/>
      <w:autoSpaceDN w:val="0"/>
      <w:adjustRightInd w:val="0"/>
    </w:pPr>
    <w:rPr>
      <w:rFonts w:ascii="KEDJH O+ Helvetica" w:hAnsi="KEDJH O+ Helvetica" w:cs="KEDJH O+ Helvetica"/>
      <w:color w:val="000000"/>
      <w:sz w:val="24"/>
      <w:szCs w:val="24"/>
      <w:lang w:eastAsia="ko-KR"/>
    </w:rPr>
  </w:style>
  <w:style w:type="paragraph" w:customStyle="1" w:styleId="MAINTITLE">
    <w:name w:val="MAIN TITLE"/>
    <w:basedOn w:val="Default"/>
    <w:next w:val="Default"/>
    <w:uiPriority w:val="99"/>
    <w:rsid w:val="00BF16BF"/>
    <w:pPr>
      <w:spacing w:before="240"/>
    </w:pPr>
    <w:rPr>
      <w:color w:val="auto"/>
    </w:rPr>
  </w:style>
  <w:style w:type="paragraph" w:styleId="Footer">
    <w:name w:val="footer"/>
    <w:basedOn w:val="Normal"/>
    <w:link w:val="FooterChar"/>
    <w:uiPriority w:val="99"/>
    <w:rsid w:val="00D17D20"/>
    <w:pPr>
      <w:tabs>
        <w:tab w:val="center" w:pos="4320"/>
        <w:tab w:val="right" w:pos="8640"/>
      </w:tabs>
    </w:pPr>
  </w:style>
  <w:style w:type="character" w:customStyle="1" w:styleId="FooterChar">
    <w:name w:val="Footer Char"/>
    <w:basedOn w:val="DefaultParagraphFont"/>
    <w:link w:val="Footer"/>
    <w:uiPriority w:val="99"/>
    <w:locked/>
    <w:rsid w:val="005D618F"/>
    <w:rPr>
      <w:sz w:val="24"/>
      <w:szCs w:val="24"/>
      <w:lang w:eastAsia="ko-KR"/>
    </w:rPr>
  </w:style>
  <w:style w:type="character" w:styleId="PageNumber">
    <w:name w:val="page number"/>
    <w:basedOn w:val="DefaultParagraphFont"/>
    <w:uiPriority w:val="99"/>
    <w:rsid w:val="00D17D20"/>
  </w:style>
  <w:style w:type="paragraph" w:styleId="DocumentMap">
    <w:name w:val="Document Map"/>
    <w:basedOn w:val="Normal"/>
    <w:link w:val="DocumentMapChar"/>
    <w:uiPriority w:val="99"/>
    <w:semiHidden/>
    <w:rsid w:val="006C15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618F"/>
    <w:rPr>
      <w:sz w:val="2"/>
      <w:szCs w:val="2"/>
      <w:lang w:eastAsia="ko-KR"/>
    </w:rPr>
  </w:style>
  <w:style w:type="table" w:styleId="TableGrid">
    <w:name w:val="Table Grid"/>
    <w:basedOn w:val="TableNormal"/>
    <w:uiPriority w:val="99"/>
    <w:rsid w:val="00E466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BF2990"/>
  </w:style>
  <w:style w:type="character" w:customStyle="1" w:styleId="DateChar">
    <w:name w:val="Date Char"/>
    <w:basedOn w:val="DefaultParagraphFont"/>
    <w:link w:val="Date"/>
    <w:uiPriority w:val="99"/>
    <w:semiHidden/>
    <w:locked/>
    <w:rsid w:val="005D618F"/>
    <w:rPr>
      <w:sz w:val="24"/>
      <w:szCs w:val="24"/>
      <w:lang w:eastAsia="ko-KR"/>
    </w:rPr>
  </w:style>
  <w:style w:type="character" w:styleId="CommentReference">
    <w:name w:val="annotation reference"/>
    <w:basedOn w:val="DefaultParagraphFont"/>
    <w:uiPriority w:val="99"/>
    <w:semiHidden/>
    <w:rsid w:val="006276B8"/>
    <w:rPr>
      <w:sz w:val="16"/>
      <w:szCs w:val="16"/>
    </w:rPr>
  </w:style>
  <w:style w:type="paragraph" w:styleId="CommentText">
    <w:name w:val="annotation text"/>
    <w:basedOn w:val="Normal"/>
    <w:link w:val="CommentTextChar"/>
    <w:uiPriority w:val="99"/>
    <w:semiHidden/>
    <w:rsid w:val="006276B8"/>
    <w:rPr>
      <w:sz w:val="20"/>
      <w:szCs w:val="20"/>
    </w:rPr>
  </w:style>
  <w:style w:type="character" w:customStyle="1" w:styleId="CommentTextChar">
    <w:name w:val="Comment Text Char"/>
    <w:basedOn w:val="DefaultParagraphFont"/>
    <w:link w:val="CommentText"/>
    <w:uiPriority w:val="99"/>
    <w:locked/>
    <w:rsid w:val="006276B8"/>
    <w:rPr>
      <w:lang w:eastAsia="ko-KR"/>
    </w:rPr>
  </w:style>
  <w:style w:type="paragraph" w:styleId="CommentSubject">
    <w:name w:val="annotation subject"/>
    <w:basedOn w:val="CommentText"/>
    <w:next w:val="CommentText"/>
    <w:link w:val="CommentSubjectChar"/>
    <w:uiPriority w:val="99"/>
    <w:semiHidden/>
    <w:rsid w:val="006276B8"/>
    <w:rPr>
      <w:b/>
      <w:bCs/>
    </w:rPr>
  </w:style>
  <w:style w:type="character" w:customStyle="1" w:styleId="CommentSubjectChar">
    <w:name w:val="Comment Subject Char"/>
    <w:basedOn w:val="CommentTextChar"/>
    <w:link w:val="CommentSubject"/>
    <w:uiPriority w:val="99"/>
    <w:locked/>
    <w:rsid w:val="006276B8"/>
    <w:rPr>
      <w:b/>
      <w:bCs/>
      <w:lang w:eastAsia="ko-KR"/>
    </w:rPr>
  </w:style>
  <w:style w:type="character" w:customStyle="1" w:styleId="EmailStyle46">
    <w:name w:val="EmailStyle46"/>
    <w:basedOn w:val="DefaultParagraphFont"/>
    <w:uiPriority w:val="99"/>
    <w:semiHidden/>
    <w:rsid w:val="00A500E7"/>
    <w:rPr>
      <w:rFonts w:ascii="Arial" w:hAnsi="Arial" w:cs="Arial"/>
      <w:color w:val="auto"/>
      <w:sz w:val="20"/>
      <w:szCs w:val="20"/>
    </w:rPr>
  </w:style>
  <w:style w:type="paragraph" w:customStyle="1" w:styleId="msolistparagraph0">
    <w:name w:val="msolistparagraph"/>
    <w:basedOn w:val="Normal"/>
    <w:uiPriority w:val="99"/>
    <w:rsid w:val="00BB0516"/>
    <w:pPr>
      <w:ind w:left="720"/>
    </w:pPr>
  </w:style>
  <w:style w:type="paragraph" w:styleId="ListParagraph">
    <w:name w:val="List Paragraph"/>
    <w:basedOn w:val="Normal"/>
    <w:uiPriority w:val="99"/>
    <w:qFormat/>
    <w:rsid w:val="0058730E"/>
    <w:pPr>
      <w:ind w:left="720"/>
    </w:pPr>
    <w:rPr>
      <w:rFonts w:ascii="Calibri" w:hAnsi="Calibri" w:cs="Calibri"/>
      <w:sz w:val="22"/>
      <w:szCs w:val="22"/>
      <w:lang w:eastAsia="en-US"/>
    </w:rPr>
  </w:style>
  <w:style w:type="character" w:customStyle="1" w:styleId="definition">
    <w:name w:val="definition"/>
    <w:basedOn w:val="DefaultParagraphFont"/>
    <w:uiPriority w:val="99"/>
    <w:rsid w:val="00C00746"/>
  </w:style>
  <w:style w:type="paragraph" w:styleId="Revision">
    <w:name w:val="Revision"/>
    <w:hidden/>
    <w:uiPriority w:val="99"/>
    <w:semiHidden/>
    <w:rsid w:val="00D93073"/>
    <w:rPr>
      <w:sz w:val="24"/>
      <w:szCs w:val="24"/>
      <w:lang w:eastAsia="ko-KR"/>
    </w:rPr>
  </w:style>
  <w:style w:type="character" w:customStyle="1" w:styleId="italic1">
    <w:name w:val="italic1"/>
    <w:basedOn w:val="DefaultParagraphFont"/>
    <w:rsid w:val="00D27B21"/>
    <w:rPr>
      <w:i/>
      <w:iCs/>
    </w:rPr>
  </w:style>
  <w:style w:type="character" w:customStyle="1" w:styleId="italic">
    <w:name w:val="italic"/>
    <w:basedOn w:val="DefaultParagraphFont"/>
    <w:uiPriority w:val="99"/>
    <w:rsid w:val="000F689F"/>
  </w:style>
  <w:style w:type="character" w:customStyle="1" w:styleId="bold">
    <w:name w:val="bold"/>
    <w:basedOn w:val="DefaultParagraphFont"/>
    <w:uiPriority w:val="99"/>
    <w:rsid w:val="000F689F"/>
  </w:style>
  <w:style w:type="character" w:customStyle="1" w:styleId="rsaquo">
    <w:name w:val="rsaquo"/>
    <w:basedOn w:val="DefaultParagraphFont"/>
    <w:uiPriority w:val="99"/>
    <w:rsid w:val="000F689F"/>
  </w:style>
  <w:style w:type="paragraph" w:styleId="Header">
    <w:name w:val="header"/>
    <w:basedOn w:val="Normal"/>
    <w:link w:val="HeaderChar"/>
    <w:uiPriority w:val="99"/>
    <w:rsid w:val="0089293E"/>
    <w:pPr>
      <w:tabs>
        <w:tab w:val="center" w:pos="4680"/>
        <w:tab w:val="right" w:pos="9360"/>
      </w:tabs>
    </w:pPr>
  </w:style>
  <w:style w:type="character" w:customStyle="1" w:styleId="HeaderChar">
    <w:name w:val="Header Char"/>
    <w:basedOn w:val="DefaultParagraphFont"/>
    <w:link w:val="Header"/>
    <w:uiPriority w:val="99"/>
    <w:locked/>
    <w:rsid w:val="0089293E"/>
    <w:rPr>
      <w:sz w:val="24"/>
      <w:szCs w:val="24"/>
      <w:lang w:eastAsia="ko-KR"/>
    </w:rPr>
  </w:style>
  <w:style w:type="character" w:styleId="Emphasis">
    <w:name w:val="Emphasis"/>
    <w:basedOn w:val="DefaultParagraphFont"/>
    <w:uiPriority w:val="99"/>
    <w:qFormat/>
    <w:locked/>
    <w:rsid w:val="00E57506"/>
    <w:rPr>
      <w:i/>
      <w:iCs/>
    </w:rPr>
  </w:style>
  <w:style w:type="paragraph" w:styleId="EndnoteText">
    <w:name w:val="endnote text"/>
    <w:basedOn w:val="Normal"/>
    <w:link w:val="EndnoteTextChar"/>
    <w:uiPriority w:val="99"/>
    <w:semiHidden/>
    <w:unhideWhenUsed/>
    <w:rsid w:val="00475D83"/>
    <w:rPr>
      <w:sz w:val="20"/>
      <w:szCs w:val="20"/>
    </w:rPr>
  </w:style>
  <w:style w:type="character" w:customStyle="1" w:styleId="EndnoteTextChar">
    <w:name w:val="Endnote Text Char"/>
    <w:basedOn w:val="DefaultParagraphFont"/>
    <w:link w:val="EndnoteText"/>
    <w:uiPriority w:val="99"/>
    <w:semiHidden/>
    <w:rsid w:val="00475D83"/>
    <w:rPr>
      <w:sz w:val="20"/>
      <w:szCs w:val="20"/>
      <w:lang w:eastAsia="ko-KR"/>
    </w:rPr>
  </w:style>
  <w:style w:type="character" w:styleId="EndnoteReference">
    <w:name w:val="endnote reference"/>
    <w:basedOn w:val="DefaultParagraphFont"/>
    <w:uiPriority w:val="99"/>
    <w:semiHidden/>
    <w:unhideWhenUsed/>
    <w:rsid w:val="00475D83"/>
    <w:rPr>
      <w:vertAlign w:val="superscript"/>
    </w:rPr>
  </w:style>
  <w:style w:type="character" w:styleId="FollowedHyperlink">
    <w:name w:val="FollowedHyperlink"/>
    <w:basedOn w:val="DefaultParagraphFont"/>
    <w:uiPriority w:val="99"/>
    <w:semiHidden/>
    <w:unhideWhenUsed/>
    <w:rsid w:val="00E90051"/>
    <w:rPr>
      <w:color w:val="800080" w:themeColor="followedHyperlink"/>
      <w:u w:val="single"/>
    </w:rPr>
  </w:style>
  <w:style w:type="paragraph" w:styleId="HTMLPreformatted">
    <w:name w:val="HTML Preformatted"/>
    <w:basedOn w:val="Normal"/>
    <w:link w:val="HTMLPreformattedChar"/>
    <w:uiPriority w:val="99"/>
    <w:semiHidden/>
    <w:unhideWhenUsed/>
    <w:rsid w:val="00D6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D67774"/>
    <w:rPr>
      <w:rFonts w:ascii="Courier New" w:eastAsia="Times New Roman" w:hAnsi="Courier New" w:cs="Courier New"/>
      <w:sz w:val="20"/>
      <w:szCs w:val="20"/>
    </w:rPr>
  </w:style>
  <w:style w:type="character" w:customStyle="1" w:styleId="Title1">
    <w:name w:val="Title1"/>
    <w:basedOn w:val="DefaultParagraphFont"/>
    <w:rsid w:val="00C14EA9"/>
  </w:style>
  <w:style w:type="character" w:customStyle="1" w:styleId="mediatitle1">
    <w:name w:val="media_title1"/>
    <w:basedOn w:val="DefaultParagraphFont"/>
    <w:rsid w:val="00C14EA9"/>
    <w:rPr>
      <w:i/>
      <w:iCs/>
    </w:rPr>
  </w:style>
  <w:style w:type="character" w:customStyle="1" w:styleId="refs-comment">
    <w:name w:val="&lt;refs-comment&gt;"/>
    <w:rsid w:val="00B22260"/>
    <w:rPr>
      <w:color w:val="3399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6B"/>
    <w:rPr>
      <w:sz w:val="24"/>
      <w:szCs w:val="24"/>
      <w:lang w:eastAsia="ko-KR"/>
    </w:rPr>
  </w:style>
  <w:style w:type="paragraph" w:styleId="Heading1">
    <w:name w:val="heading 1"/>
    <w:basedOn w:val="Normal"/>
    <w:next w:val="Normal"/>
    <w:link w:val="Heading1Char"/>
    <w:uiPriority w:val="99"/>
    <w:qFormat/>
    <w:rsid w:val="0025709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B255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618F"/>
    <w:rPr>
      <w:rFonts w:ascii="Cambria" w:hAnsi="Cambria" w:cs="Cambria"/>
      <w:b/>
      <w:bCs/>
      <w:kern w:val="32"/>
      <w:sz w:val="32"/>
      <w:szCs w:val="32"/>
      <w:lang w:eastAsia="ko-KR"/>
    </w:rPr>
  </w:style>
  <w:style w:type="character" w:customStyle="1" w:styleId="Heading2Char">
    <w:name w:val="Heading 2 Char"/>
    <w:basedOn w:val="DefaultParagraphFont"/>
    <w:link w:val="Heading2"/>
    <w:uiPriority w:val="99"/>
    <w:semiHidden/>
    <w:locked/>
    <w:rsid w:val="005D618F"/>
    <w:rPr>
      <w:rFonts w:ascii="Cambria" w:hAnsi="Cambria" w:cs="Cambria"/>
      <w:b/>
      <w:bCs/>
      <w:i/>
      <w:iCs/>
      <w:sz w:val="28"/>
      <w:szCs w:val="28"/>
      <w:lang w:eastAsia="ko-KR"/>
    </w:rPr>
  </w:style>
  <w:style w:type="paragraph" w:styleId="BalloonText">
    <w:name w:val="Balloon Text"/>
    <w:basedOn w:val="Normal"/>
    <w:link w:val="BalloonTextChar"/>
    <w:uiPriority w:val="99"/>
    <w:semiHidden/>
    <w:rsid w:val="006C15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18F"/>
    <w:rPr>
      <w:sz w:val="2"/>
      <w:szCs w:val="2"/>
      <w:lang w:eastAsia="ko-KR"/>
    </w:rPr>
  </w:style>
  <w:style w:type="paragraph" w:styleId="NormalWeb">
    <w:name w:val="Normal (Web)"/>
    <w:basedOn w:val="Normal"/>
    <w:uiPriority w:val="99"/>
    <w:rsid w:val="006B2558"/>
    <w:pPr>
      <w:spacing w:before="100" w:beforeAutospacing="1" w:after="100" w:afterAutospacing="1"/>
    </w:pPr>
  </w:style>
  <w:style w:type="character" w:styleId="Hyperlink">
    <w:name w:val="Hyperlink"/>
    <w:basedOn w:val="DefaultParagraphFont"/>
    <w:uiPriority w:val="99"/>
    <w:rsid w:val="006B2558"/>
    <w:rPr>
      <w:color w:val="0000FF"/>
      <w:u w:val="single"/>
    </w:rPr>
  </w:style>
  <w:style w:type="character" w:customStyle="1" w:styleId="toctoggle">
    <w:name w:val="toctoggle"/>
    <w:basedOn w:val="DefaultParagraphFont"/>
    <w:uiPriority w:val="99"/>
    <w:rsid w:val="006B2558"/>
  </w:style>
  <w:style w:type="character" w:customStyle="1" w:styleId="tocnumber">
    <w:name w:val="tocnumber"/>
    <w:basedOn w:val="DefaultParagraphFont"/>
    <w:uiPriority w:val="99"/>
    <w:rsid w:val="006B2558"/>
  </w:style>
  <w:style w:type="character" w:customStyle="1" w:styleId="toctext">
    <w:name w:val="toctext"/>
    <w:basedOn w:val="DefaultParagraphFont"/>
    <w:uiPriority w:val="99"/>
    <w:rsid w:val="006B2558"/>
  </w:style>
  <w:style w:type="character" w:customStyle="1" w:styleId="editsection">
    <w:name w:val="editsection"/>
    <w:basedOn w:val="DefaultParagraphFont"/>
    <w:uiPriority w:val="99"/>
    <w:rsid w:val="006B2558"/>
  </w:style>
  <w:style w:type="character" w:customStyle="1" w:styleId="mw-headline">
    <w:name w:val="mw-headline"/>
    <w:basedOn w:val="DefaultParagraphFont"/>
    <w:uiPriority w:val="99"/>
    <w:rsid w:val="006B2558"/>
  </w:style>
  <w:style w:type="paragraph" w:styleId="BodyTextIndent">
    <w:name w:val="Body Text Indent"/>
    <w:basedOn w:val="Normal"/>
    <w:link w:val="BodyTextIndentChar"/>
    <w:uiPriority w:val="99"/>
    <w:rsid w:val="002F1158"/>
    <w:pPr>
      <w:autoSpaceDE w:val="0"/>
      <w:autoSpaceDN w:val="0"/>
      <w:adjustRightInd w:val="0"/>
      <w:spacing w:line="480" w:lineRule="auto"/>
      <w:ind w:firstLine="720"/>
    </w:pPr>
    <w:rPr>
      <w:lang w:eastAsia="en-US"/>
    </w:rPr>
  </w:style>
  <w:style w:type="character" w:customStyle="1" w:styleId="BodyTextIndentChar">
    <w:name w:val="Body Text Indent Char"/>
    <w:basedOn w:val="DefaultParagraphFont"/>
    <w:link w:val="BodyTextIndent"/>
    <w:uiPriority w:val="99"/>
    <w:semiHidden/>
    <w:locked/>
    <w:rsid w:val="005D618F"/>
    <w:rPr>
      <w:sz w:val="24"/>
      <w:szCs w:val="24"/>
      <w:lang w:eastAsia="ko-KR"/>
    </w:rPr>
  </w:style>
  <w:style w:type="paragraph" w:styleId="FootnoteText">
    <w:name w:val="footnote text"/>
    <w:basedOn w:val="Normal"/>
    <w:link w:val="FootnoteTextChar"/>
    <w:uiPriority w:val="99"/>
    <w:semiHidden/>
    <w:rsid w:val="00F17C68"/>
    <w:rPr>
      <w:sz w:val="20"/>
      <w:szCs w:val="20"/>
    </w:rPr>
  </w:style>
  <w:style w:type="character" w:customStyle="1" w:styleId="FootnoteTextChar">
    <w:name w:val="Footnote Text Char"/>
    <w:basedOn w:val="DefaultParagraphFont"/>
    <w:link w:val="FootnoteText"/>
    <w:uiPriority w:val="99"/>
    <w:semiHidden/>
    <w:locked/>
    <w:rsid w:val="005D618F"/>
    <w:rPr>
      <w:sz w:val="20"/>
      <w:szCs w:val="20"/>
      <w:lang w:eastAsia="ko-KR"/>
    </w:rPr>
  </w:style>
  <w:style w:type="character" w:styleId="FootnoteReference">
    <w:name w:val="footnote reference"/>
    <w:basedOn w:val="DefaultParagraphFont"/>
    <w:uiPriority w:val="99"/>
    <w:semiHidden/>
    <w:rsid w:val="00F17C68"/>
    <w:rPr>
      <w:vertAlign w:val="superscript"/>
    </w:rPr>
  </w:style>
  <w:style w:type="paragraph" w:customStyle="1" w:styleId="Default">
    <w:name w:val="Default"/>
    <w:rsid w:val="00BF16BF"/>
    <w:pPr>
      <w:autoSpaceDE w:val="0"/>
      <w:autoSpaceDN w:val="0"/>
      <w:adjustRightInd w:val="0"/>
    </w:pPr>
    <w:rPr>
      <w:rFonts w:ascii="KEDJH O+ Helvetica" w:hAnsi="KEDJH O+ Helvetica" w:cs="KEDJH O+ Helvetica"/>
      <w:color w:val="000000"/>
      <w:sz w:val="24"/>
      <w:szCs w:val="24"/>
      <w:lang w:eastAsia="ko-KR"/>
    </w:rPr>
  </w:style>
  <w:style w:type="paragraph" w:customStyle="1" w:styleId="MAINTITLE">
    <w:name w:val="MAIN TITLE"/>
    <w:basedOn w:val="Default"/>
    <w:next w:val="Default"/>
    <w:uiPriority w:val="99"/>
    <w:rsid w:val="00BF16BF"/>
    <w:pPr>
      <w:spacing w:before="240"/>
    </w:pPr>
    <w:rPr>
      <w:color w:val="auto"/>
    </w:rPr>
  </w:style>
  <w:style w:type="paragraph" w:styleId="Footer">
    <w:name w:val="footer"/>
    <w:basedOn w:val="Normal"/>
    <w:link w:val="FooterChar"/>
    <w:uiPriority w:val="99"/>
    <w:rsid w:val="00D17D20"/>
    <w:pPr>
      <w:tabs>
        <w:tab w:val="center" w:pos="4320"/>
        <w:tab w:val="right" w:pos="8640"/>
      </w:tabs>
    </w:pPr>
  </w:style>
  <w:style w:type="character" w:customStyle="1" w:styleId="FooterChar">
    <w:name w:val="Footer Char"/>
    <w:basedOn w:val="DefaultParagraphFont"/>
    <w:link w:val="Footer"/>
    <w:uiPriority w:val="99"/>
    <w:locked/>
    <w:rsid w:val="005D618F"/>
    <w:rPr>
      <w:sz w:val="24"/>
      <w:szCs w:val="24"/>
      <w:lang w:eastAsia="ko-KR"/>
    </w:rPr>
  </w:style>
  <w:style w:type="character" w:styleId="PageNumber">
    <w:name w:val="page number"/>
    <w:basedOn w:val="DefaultParagraphFont"/>
    <w:uiPriority w:val="99"/>
    <w:rsid w:val="00D17D20"/>
  </w:style>
  <w:style w:type="paragraph" w:styleId="DocumentMap">
    <w:name w:val="Document Map"/>
    <w:basedOn w:val="Normal"/>
    <w:link w:val="DocumentMapChar"/>
    <w:uiPriority w:val="99"/>
    <w:semiHidden/>
    <w:rsid w:val="006C15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618F"/>
    <w:rPr>
      <w:sz w:val="2"/>
      <w:szCs w:val="2"/>
      <w:lang w:eastAsia="ko-KR"/>
    </w:rPr>
  </w:style>
  <w:style w:type="table" w:styleId="TableGrid">
    <w:name w:val="Table Grid"/>
    <w:basedOn w:val="TableNormal"/>
    <w:uiPriority w:val="99"/>
    <w:rsid w:val="00E466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BF2990"/>
  </w:style>
  <w:style w:type="character" w:customStyle="1" w:styleId="DateChar">
    <w:name w:val="Date Char"/>
    <w:basedOn w:val="DefaultParagraphFont"/>
    <w:link w:val="Date"/>
    <w:uiPriority w:val="99"/>
    <w:semiHidden/>
    <w:locked/>
    <w:rsid w:val="005D618F"/>
    <w:rPr>
      <w:sz w:val="24"/>
      <w:szCs w:val="24"/>
      <w:lang w:eastAsia="ko-KR"/>
    </w:rPr>
  </w:style>
  <w:style w:type="character" w:styleId="CommentReference">
    <w:name w:val="annotation reference"/>
    <w:basedOn w:val="DefaultParagraphFont"/>
    <w:uiPriority w:val="99"/>
    <w:semiHidden/>
    <w:rsid w:val="006276B8"/>
    <w:rPr>
      <w:sz w:val="16"/>
      <w:szCs w:val="16"/>
    </w:rPr>
  </w:style>
  <w:style w:type="paragraph" w:styleId="CommentText">
    <w:name w:val="annotation text"/>
    <w:basedOn w:val="Normal"/>
    <w:link w:val="CommentTextChar"/>
    <w:uiPriority w:val="99"/>
    <w:semiHidden/>
    <w:rsid w:val="006276B8"/>
    <w:rPr>
      <w:sz w:val="20"/>
      <w:szCs w:val="20"/>
    </w:rPr>
  </w:style>
  <w:style w:type="character" w:customStyle="1" w:styleId="CommentTextChar">
    <w:name w:val="Comment Text Char"/>
    <w:basedOn w:val="DefaultParagraphFont"/>
    <w:link w:val="CommentText"/>
    <w:uiPriority w:val="99"/>
    <w:locked/>
    <w:rsid w:val="006276B8"/>
    <w:rPr>
      <w:lang w:eastAsia="ko-KR"/>
    </w:rPr>
  </w:style>
  <w:style w:type="paragraph" w:styleId="CommentSubject">
    <w:name w:val="annotation subject"/>
    <w:basedOn w:val="CommentText"/>
    <w:next w:val="CommentText"/>
    <w:link w:val="CommentSubjectChar"/>
    <w:uiPriority w:val="99"/>
    <w:semiHidden/>
    <w:rsid w:val="006276B8"/>
    <w:rPr>
      <w:b/>
      <w:bCs/>
    </w:rPr>
  </w:style>
  <w:style w:type="character" w:customStyle="1" w:styleId="CommentSubjectChar">
    <w:name w:val="Comment Subject Char"/>
    <w:basedOn w:val="CommentTextChar"/>
    <w:link w:val="CommentSubject"/>
    <w:uiPriority w:val="99"/>
    <w:locked/>
    <w:rsid w:val="006276B8"/>
    <w:rPr>
      <w:b/>
      <w:bCs/>
      <w:lang w:eastAsia="ko-KR"/>
    </w:rPr>
  </w:style>
  <w:style w:type="character" w:customStyle="1" w:styleId="EmailStyle46">
    <w:name w:val="EmailStyle46"/>
    <w:basedOn w:val="DefaultParagraphFont"/>
    <w:uiPriority w:val="99"/>
    <w:semiHidden/>
    <w:rsid w:val="00A500E7"/>
    <w:rPr>
      <w:rFonts w:ascii="Arial" w:hAnsi="Arial" w:cs="Arial"/>
      <w:color w:val="auto"/>
      <w:sz w:val="20"/>
      <w:szCs w:val="20"/>
    </w:rPr>
  </w:style>
  <w:style w:type="paragraph" w:customStyle="1" w:styleId="msolistparagraph0">
    <w:name w:val="msolistparagraph"/>
    <w:basedOn w:val="Normal"/>
    <w:uiPriority w:val="99"/>
    <w:rsid w:val="00BB0516"/>
    <w:pPr>
      <w:ind w:left="720"/>
    </w:pPr>
  </w:style>
  <w:style w:type="paragraph" w:styleId="ListParagraph">
    <w:name w:val="List Paragraph"/>
    <w:basedOn w:val="Normal"/>
    <w:uiPriority w:val="99"/>
    <w:qFormat/>
    <w:rsid w:val="0058730E"/>
    <w:pPr>
      <w:ind w:left="720"/>
    </w:pPr>
    <w:rPr>
      <w:rFonts w:ascii="Calibri" w:hAnsi="Calibri" w:cs="Calibri"/>
      <w:sz w:val="22"/>
      <w:szCs w:val="22"/>
      <w:lang w:eastAsia="en-US"/>
    </w:rPr>
  </w:style>
  <w:style w:type="character" w:customStyle="1" w:styleId="definition">
    <w:name w:val="definition"/>
    <w:basedOn w:val="DefaultParagraphFont"/>
    <w:uiPriority w:val="99"/>
    <w:rsid w:val="00C00746"/>
  </w:style>
  <w:style w:type="paragraph" w:styleId="Revision">
    <w:name w:val="Revision"/>
    <w:hidden/>
    <w:uiPriority w:val="99"/>
    <w:semiHidden/>
    <w:rsid w:val="00D93073"/>
    <w:rPr>
      <w:sz w:val="24"/>
      <w:szCs w:val="24"/>
      <w:lang w:eastAsia="ko-KR"/>
    </w:rPr>
  </w:style>
  <w:style w:type="character" w:customStyle="1" w:styleId="italic1">
    <w:name w:val="italic1"/>
    <w:basedOn w:val="DefaultParagraphFont"/>
    <w:rsid w:val="00D27B21"/>
    <w:rPr>
      <w:i/>
      <w:iCs/>
    </w:rPr>
  </w:style>
  <w:style w:type="character" w:customStyle="1" w:styleId="italic">
    <w:name w:val="italic"/>
    <w:basedOn w:val="DefaultParagraphFont"/>
    <w:uiPriority w:val="99"/>
    <w:rsid w:val="000F689F"/>
  </w:style>
  <w:style w:type="character" w:customStyle="1" w:styleId="bold">
    <w:name w:val="bold"/>
    <w:basedOn w:val="DefaultParagraphFont"/>
    <w:uiPriority w:val="99"/>
    <w:rsid w:val="000F689F"/>
  </w:style>
  <w:style w:type="character" w:customStyle="1" w:styleId="rsaquo">
    <w:name w:val="rsaquo"/>
    <w:basedOn w:val="DefaultParagraphFont"/>
    <w:uiPriority w:val="99"/>
    <w:rsid w:val="000F689F"/>
  </w:style>
  <w:style w:type="paragraph" w:styleId="Header">
    <w:name w:val="header"/>
    <w:basedOn w:val="Normal"/>
    <w:link w:val="HeaderChar"/>
    <w:uiPriority w:val="99"/>
    <w:rsid w:val="0089293E"/>
    <w:pPr>
      <w:tabs>
        <w:tab w:val="center" w:pos="4680"/>
        <w:tab w:val="right" w:pos="9360"/>
      </w:tabs>
    </w:pPr>
  </w:style>
  <w:style w:type="character" w:customStyle="1" w:styleId="HeaderChar">
    <w:name w:val="Header Char"/>
    <w:basedOn w:val="DefaultParagraphFont"/>
    <w:link w:val="Header"/>
    <w:uiPriority w:val="99"/>
    <w:locked/>
    <w:rsid w:val="0089293E"/>
    <w:rPr>
      <w:sz w:val="24"/>
      <w:szCs w:val="24"/>
      <w:lang w:eastAsia="ko-KR"/>
    </w:rPr>
  </w:style>
  <w:style w:type="character" w:styleId="Emphasis">
    <w:name w:val="Emphasis"/>
    <w:basedOn w:val="DefaultParagraphFont"/>
    <w:uiPriority w:val="99"/>
    <w:qFormat/>
    <w:locked/>
    <w:rsid w:val="00E57506"/>
    <w:rPr>
      <w:i/>
      <w:iCs/>
    </w:rPr>
  </w:style>
  <w:style w:type="paragraph" w:styleId="EndnoteText">
    <w:name w:val="endnote text"/>
    <w:basedOn w:val="Normal"/>
    <w:link w:val="EndnoteTextChar"/>
    <w:uiPriority w:val="99"/>
    <w:semiHidden/>
    <w:unhideWhenUsed/>
    <w:rsid w:val="00475D83"/>
    <w:rPr>
      <w:sz w:val="20"/>
      <w:szCs w:val="20"/>
    </w:rPr>
  </w:style>
  <w:style w:type="character" w:customStyle="1" w:styleId="EndnoteTextChar">
    <w:name w:val="Endnote Text Char"/>
    <w:basedOn w:val="DefaultParagraphFont"/>
    <w:link w:val="EndnoteText"/>
    <w:uiPriority w:val="99"/>
    <w:semiHidden/>
    <w:rsid w:val="00475D83"/>
    <w:rPr>
      <w:sz w:val="20"/>
      <w:szCs w:val="20"/>
      <w:lang w:eastAsia="ko-KR"/>
    </w:rPr>
  </w:style>
  <w:style w:type="character" w:styleId="EndnoteReference">
    <w:name w:val="endnote reference"/>
    <w:basedOn w:val="DefaultParagraphFont"/>
    <w:uiPriority w:val="99"/>
    <w:semiHidden/>
    <w:unhideWhenUsed/>
    <w:rsid w:val="00475D83"/>
    <w:rPr>
      <w:vertAlign w:val="superscript"/>
    </w:rPr>
  </w:style>
  <w:style w:type="character" w:styleId="FollowedHyperlink">
    <w:name w:val="FollowedHyperlink"/>
    <w:basedOn w:val="DefaultParagraphFont"/>
    <w:uiPriority w:val="99"/>
    <w:semiHidden/>
    <w:unhideWhenUsed/>
    <w:rsid w:val="00E90051"/>
    <w:rPr>
      <w:color w:val="800080" w:themeColor="followedHyperlink"/>
      <w:u w:val="single"/>
    </w:rPr>
  </w:style>
  <w:style w:type="paragraph" w:styleId="HTMLPreformatted">
    <w:name w:val="HTML Preformatted"/>
    <w:basedOn w:val="Normal"/>
    <w:link w:val="HTMLPreformattedChar"/>
    <w:uiPriority w:val="99"/>
    <w:semiHidden/>
    <w:unhideWhenUsed/>
    <w:rsid w:val="00D6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D67774"/>
    <w:rPr>
      <w:rFonts w:ascii="Courier New" w:eastAsia="Times New Roman" w:hAnsi="Courier New" w:cs="Courier New"/>
      <w:sz w:val="20"/>
      <w:szCs w:val="20"/>
    </w:rPr>
  </w:style>
  <w:style w:type="character" w:customStyle="1" w:styleId="Title1">
    <w:name w:val="Title1"/>
    <w:basedOn w:val="DefaultParagraphFont"/>
    <w:rsid w:val="00C14EA9"/>
  </w:style>
  <w:style w:type="character" w:customStyle="1" w:styleId="mediatitle1">
    <w:name w:val="media_title1"/>
    <w:basedOn w:val="DefaultParagraphFont"/>
    <w:rsid w:val="00C14EA9"/>
    <w:rPr>
      <w:i/>
      <w:iCs/>
    </w:rPr>
  </w:style>
  <w:style w:type="character" w:customStyle="1" w:styleId="refs-comment">
    <w:name w:val="&lt;refs-comment&gt;"/>
    <w:rsid w:val="00B22260"/>
    <w:rPr>
      <w:color w:val="3399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5170">
      <w:bodyDiv w:val="1"/>
      <w:marLeft w:val="0"/>
      <w:marRight w:val="0"/>
      <w:marTop w:val="0"/>
      <w:marBottom w:val="0"/>
      <w:divBdr>
        <w:top w:val="none" w:sz="0" w:space="0" w:color="auto"/>
        <w:left w:val="none" w:sz="0" w:space="0" w:color="auto"/>
        <w:bottom w:val="none" w:sz="0" w:space="0" w:color="auto"/>
        <w:right w:val="none" w:sz="0" w:space="0" w:color="auto"/>
      </w:divBdr>
    </w:div>
    <w:div w:id="181557973">
      <w:bodyDiv w:val="1"/>
      <w:marLeft w:val="0"/>
      <w:marRight w:val="0"/>
      <w:marTop w:val="0"/>
      <w:marBottom w:val="0"/>
      <w:divBdr>
        <w:top w:val="none" w:sz="0" w:space="0" w:color="auto"/>
        <w:left w:val="none" w:sz="0" w:space="0" w:color="auto"/>
        <w:bottom w:val="none" w:sz="0" w:space="0" w:color="auto"/>
        <w:right w:val="none" w:sz="0" w:space="0" w:color="auto"/>
      </w:divBdr>
      <w:divsChild>
        <w:div w:id="914508385">
          <w:marLeft w:val="0"/>
          <w:marRight w:val="0"/>
          <w:marTop w:val="0"/>
          <w:marBottom w:val="0"/>
          <w:divBdr>
            <w:top w:val="none" w:sz="0" w:space="0" w:color="auto"/>
            <w:left w:val="none" w:sz="0" w:space="0" w:color="auto"/>
            <w:bottom w:val="none" w:sz="0" w:space="0" w:color="auto"/>
            <w:right w:val="none" w:sz="0" w:space="0" w:color="auto"/>
          </w:divBdr>
          <w:divsChild>
            <w:div w:id="1545485074">
              <w:marLeft w:val="0"/>
              <w:marRight w:val="0"/>
              <w:marTop w:val="0"/>
              <w:marBottom w:val="0"/>
              <w:divBdr>
                <w:top w:val="none" w:sz="0" w:space="0" w:color="auto"/>
                <w:left w:val="none" w:sz="0" w:space="0" w:color="auto"/>
                <w:bottom w:val="none" w:sz="0" w:space="0" w:color="auto"/>
                <w:right w:val="none" w:sz="0" w:space="0" w:color="auto"/>
              </w:divBdr>
              <w:divsChild>
                <w:div w:id="1337995123">
                  <w:marLeft w:val="0"/>
                  <w:marRight w:val="0"/>
                  <w:marTop w:val="0"/>
                  <w:marBottom w:val="0"/>
                  <w:divBdr>
                    <w:top w:val="none" w:sz="0" w:space="0" w:color="auto"/>
                    <w:left w:val="none" w:sz="0" w:space="0" w:color="auto"/>
                    <w:bottom w:val="none" w:sz="0" w:space="0" w:color="auto"/>
                    <w:right w:val="none" w:sz="0" w:space="0" w:color="auto"/>
                  </w:divBdr>
                  <w:divsChild>
                    <w:div w:id="1695224068">
                      <w:marLeft w:val="0"/>
                      <w:marRight w:val="0"/>
                      <w:marTop w:val="0"/>
                      <w:marBottom w:val="0"/>
                      <w:divBdr>
                        <w:top w:val="none" w:sz="0" w:space="0" w:color="auto"/>
                        <w:left w:val="none" w:sz="0" w:space="0" w:color="auto"/>
                        <w:bottom w:val="none" w:sz="0" w:space="0" w:color="auto"/>
                        <w:right w:val="none" w:sz="0" w:space="0" w:color="auto"/>
                      </w:divBdr>
                      <w:divsChild>
                        <w:div w:id="468325303">
                          <w:marLeft w:val="0"/>
                          <w:marRight w:val="0"/>
                          <w:marTop w:val="0"/>
                          <w:marBottom w:val="0"/>
                          <w:divBdr>
                            <w:top w:val="none" w:sz="0" w:space="0" w:color="auto"/>
                            <w:left w:val="none" w:sz="0" w:space="0" w:color="auto"/>
                            <w:bottom w:val="none" w:sz="0" w:space="0" w:color="auto"/>
                            <w:right w:val="none" w:sz="0" w:space="0" w:color="auto"/>
                          </w:divBdr>
                          <w:divsChild>
                            <w:div w:id="1176774626">
                              <w:marLeft w:val="0"/>
                              <w:marRight w:val="0"/>
                              <w:marTop w:val="0"/>
                              <w:marBottom w:val="0"/>
                              <w:divBdr>
                                <w:top w:val="none" w:sz="0" w:space="0" w:color="auto"/>
                                <w:left w:val="none" w:sz="0" w:space="0" w:color="auto"/>
                                <w:bottom w:val="none" w:sz="0" w:space="0" w:color="auto"/>
                                <w:right w:val="none" w:sz="0" w:space="0" w:color="auto"/>
                              </w:divBdr>
                              <w:divsChild>
                                <w:div w:id="10553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816055">
      <w:bodyDiv w:val="1"/>
      <w:marLeft w:val="0"/>
      <w:marRight w:val="0"/>
      <w:marTop w:val="0"/>
      <w:marBottom w:val="0"/>
      <w:divBdr>
        <w:top w:val="none" w:sz="0" w:space="0" w:color="auto"/>
        <w:left w:val="none" w:sz="0" w:space="0" w:color="auto"/>
        <w:bottom w:val="none" w:sz="0" w:space="0" w:color="auto"/>
        <w:right w:val="none" w:sz="0" w:space="0" w:color="auto"/>
      </w:divBdr>
    </w:div>
    <w:div w:id="312295023">
      <w:bodyDiv w:val="1"/>
      <w:marLeft w:val="0"/>
      <w:marRight w:val="0"/>
      <w:marTop w:val="0"/>
      <w:marBottom w:val="0"/>
      <w:divBdr>
        <w:top w:val="none" w:sz="0" w:space="0" w:color="auto"/>
        <w:left w:val="none" w:sz="0" w:space="0" w:color="auto"/>
        <w:bottom w:val="none" w:sz="0" w:space="0" w:color="auto"/>
        <w:right w:val="none" w:sz="0" w:space="0" w:color="auto"/>
      </w:divBdr>
    </w:div>
    <w:div w:id="334965271">
      <w:bodyDiv w:val="1"/>
      <w:marLeft w:val="0"/>
      <w:marRight w:val="0"/>
      <w:marTop w:val="0"/>
      <w:marBottom w:val="0"/>
      <w:divBdr>
        <w:top w:val="none" w:sz="0" w:space="0" w:color="auto"/>
        <w:left w:val="none" w:sz="0" w:space="0" w:color="auto"/>
        <w:bottom w:val="none" w:sz="0" w:space="0" w:color="auto"/>
        <w:right w:val="none" w:sz="0" w:space="0" w:color="auto"/>
      </w:divBdr>
    </w:div>
    <w:div w:id="456071277">
      <w:bodyDiv w:val="1"/>
      <w:marLeft w:val="0"/>
      <w:marRight w:val="0"/>
      <w:marTop w:val="0"/>
      <w:marBottom w:val="0"/>
      <w:divBdr>
        <w:top w:val="none" w:sz="0" w:space="0" w:color="auto"/>
        <w:left w:val="none" w:sz="0" w:space="0" w:color="auto"/>
        <w:bottom w:val="none" w:sz="0" w:space="0" w:color="auto"/>
        <w:right w:val="none" w:sz="0" w:space="0" w:color="auto"/>
      </w:divBdr>
    </w:div>
    <w:div w:id="457576132">
      <w:bodyDiv w:val="1"/>
      <w:marLeft w:val="0"/>
      <w:marRight w:val="0"/>
      <w:marTop w:val="0"/>
      <w:marBottom w:val="0"/>
      <w:divBdr>
        <w:top w:val="none" w:sz="0" w:space="0" w:color="auto"/>
        <w:left w:val="none" w:sz="0" w:space="0" w:color="auto"/>
        <w:bottom w:val="none" w:sz="0" w:space="0" w:color="auto"/>
        <w:right w:val="none" w:sz="0" w:space="0" w:color="auto"/>
      </w:divBdr>
    </w:div>
    <w:div w:id="505022091">
      <w:bodyDiv w:val="1"/>
      <w:marLeft w:val="0"/>
      <w:marRight w:val="0"/>
      <w:marTop w:val="0"/>
      <w:marBottom w:val="0"/>
      <w:divBdr>
        <w:top w:val="none" w:sz="0" w:space="0" w:color="auto"/>
        <w:left w:val="none" w:sz="0" w:space="0" w:color="auto"/>
        <w:bottom w:val="none" w:sz="0" w:space="0" w:color="auto"/>
        <w:right w:val="none" w:sz="0" w:space="0" w:color="auto"/>
      </w:divBdr>
    </w:div>
    <w:div w:id="563032537">
      <w:bodyDiv w:val="1"/>
      <w:marLeft w:val="0"/>
      <w:marRight w:val="0"/>
      <w:marTop w:val="0"/>
      <w:marBottom w:val="0"/>
      <w:divBdr>
        <w:top w:val="none" w:sz="0" w:space="0" w:color="auto"/>
        <w:left w:val="none" w:sz="0" w:space="0" w:color="auto"/>
        <w:bottom w:val="none" w:sz="0" w:space="0" w:color="auto"/>
        <w:right w:val="none" w:sz="0" w:space="0" w:color="auto"/>
      </w:divBdr>
    </w:div>
    <w:div w:id="578173826">
      <w:bodyDiv w:val="1"/>
      <w:marLeft w:val="0"/>
      <w:marRight w:val="0"/>
      <w:marTop w:val="0"/>
      <w:marBottom w:val="0"/>
      <w:divBdr>
        <w:top w:val="none" w:sz="0" w:space="0" w:color="auto"/>
        <w:left w:val="none" w:sz="0" w:space="0" w:color="auto"/>
        <w:bottom w:val="none" w:sz="0" w:space="0" w:color="auto"/>
        <w:right w:val="none" w:sz="0" w:space="0" w:color="auto"/>
      </w:divBdr>
    </w:div>
    <w:div w:id="607808770">
      <w:bodyDiv w:val="1"/>
      <w:marLeft w:val="0"/>
      <w:marRight w:val="0"/>
      <w:marTop w:val="0"/>
      <w:marBottom w:val="0"/>
      <w:divBdr>
        <w:top w:val="none" w:sz="0" w:space="0" w:color="auto"/>
        <w:left w:val="none" w:sz="0" w:space="0" w:color="auto"/>
        <w:bottom w:val="none" w:sz="0" w:space="0" w:color="auto"/>
        <w:right w:val="none" w:sz="0" w:space="0" w:color="auto"/>
      </w:divBdr>
    </w:div>
    <w:div w:id="654458896">
      <w:bodyDiv w:val="1"/>
      <w:marLeft w:val="0"/>
      <w:marRight w:val="0"/>
      <w:marTop w:val="0"/>
      <w:marBottom w:val="0"/>
      <w:divBdr>
        <w:top w:val="none" w:sz="0" w:space="0" w:color="auto"/>
        <w:left w:val="none" w:sz="0" w:space="0" w:color="auto"/>
        <w:bottom w:val="none" w:sz="0" w:space="0" w:color="auto"/>
        <w:right w:val="none" w:sz="0" w:space="0" w:color="auto"/>
      </w:divBdr>
    </w:div>
    <w:div w:id="669215899">
      <w:bodyDiv w:val="1"/>
      <w:marLeft w:val="0"/>
      <w:marRight w:val="0"/>
      <w:marTop w:val="0"/>
      <w:marBottom w:val="0"/>
      <w:divBdr>
        <w:top w:val="none" w:sz="0" w:space="0" w:color="auto"/>
        <w:left w:val="none" w:sz="0" w:space="0" w:color="auto"/>
        <w:bottom w:val="none" w:sz="0" w:space="0" w:color="auto"/>
        <w:right w:val="none" w:sz="0" w:space="0" w:color="auto"/>
      </w:divBdr>
    </w:div>
    <w:div w:id="683824711">
      <w:bodyDiv w:val="1"/>
      <w:marLeft w:val="0"/>
      <w:marRight w:val="0"/>
      <w:marTop w:val="0"/>
      <w:marBottom w:val="0"/>
      <w:divBdr>
        <w:top w:val="none" w:sz="0" w:space="0" w:color="auto"/>
        <w:left w:val="none" w:sz="0" w:space="0" w:color="auto"/>
        <w:bottom w:val="none" w:sz="0" w:space="0" w:color="auto"/>
        <w:right w:val="none" w:sz="0" w:space="0" w:color="auto"/>
      </w:divBdr>
    </w:div>
    <w:div w:id="789209620">
      <w:bodyDiv w:val="1"/>
      <w:marLeft w:val="0"/>
      <w:marRight w:val="0"/>
      <w:marTop w:val="0"/>
      <w:marBottom w:val="0"/>
      <w:divBdr>
        <w:top w:val="none" w:sz="0" w:space="0" w:color="auto"/>
        <w:left w:val="none" w:sz="0" w:space="0" w:color="auto"/>
        <w:bottom w:val="none" w:sz="0" w:space="0" w:color="auto"/>
        <w:right w:val="none" w:sz="0" w:space="0" w:color="auto"/>
      </w:divBdr>
    </w:div>
    <w:div w:id="809320148">
      <w:bodyDiv w:val="1"/>
      <w:marLeft w:val="0"/>
      <w:marRight w:val="0"/>
      <w:marTop w:val="0"/>
      <w:marBottom w:val="0"/>
      <w:divBdr>
        <w:top w:val="none" w:sz="0" w:space="0" w:color="auto"/>
        <w:left w:val="none" w:sz="0" w:space="0" w:color="auto"/>
        <w:bottom w:val="none" w:sz="0" w:space="0" w:color="auto"/>
        <w:right w:val="none" w:sz="0" w:space="0" w:color="auto"/>
      </w:divBdr>
    </w:div>
    <w:div w:id="939065642">
      <w:bodyDiv w:val="1"/>
      <w:marLeft w:val="0"/>
      <w:marRight w:val="0"/>
      <w:marTop w:val="0"/>
      <w:marBottom w:val="0"/>
      <w:divBdr>
        <w:top w:val="none" w:sz="0" w:space="0" w:color="auto"/>
        <w:left w:val="none" w:sz="0" w:space="0" w:color="auto"/>
        <w:bottom w:val="none" w:sz="0" w:space="0" w:color="auto"/>
        <w:right w:val="none" w:sz="0" w:space="0" w:color="auto"/>
      </w:divBdr>
    </w:div>
    <w:div w:id="942372792">
      <w:bodyDiv w:val="1"/>
      <w:marLeft w:val="0"/>
      <w:marRight w:val="0"/>
      <w:marTop w:val="0"/>
      <w:marBottom w:val="0"/>
      <w:divBdr>
        <w:top w:val="none" w:sz="0" w:space="0" w:color="auto"/>
        <w:left w:val="none" w:sz="0" w:space="0" w:color="auto"/>
        <w:bottom w:val="none" w:sz="0" w:space="0" w:color="auto"/>
        <w:right w:val="none" w:sz="0" w:space="0" w:color="auto"/>
      </w:divBdr>
    </w:div>
    <w:div w:id="983697465">
      <w:bodyDiv w:val="1"/>
      <w:marLeft w:val="0"/>
      <w:marRight w:val="0"/>
      <w:marTop w:val="0"/>
      <w:marBottom w:val="0"/>
      <w:divBdr>
        <w:top w:val="none" w:sz="0" w:space="0" w:color="auto"/>
        <w:left w:val="none" w:sz="0" w:space="0" w:color="auto"/>
        <w:bottom w:val="none" w:sz="0" w:space="0" w:color="auto"/>
        <w:right w:val="none" w:sz="0" w:space="0" w:color="auto"/>
      </w:divBdr>
    </w:div>
    <w:div w:id="1277251620">
      <w:bodyDiv w:val="1"/>
      <w:marLeft w:val="0"/>
      <w:marRight w:val="0"/>
      <w:marTop w:val="0"/>
      <w:marBottom w:val="0"/>
      <w:divBdr>
        <w:top w:val="none" w:sz="0" w:space="0" w:color="auto"/>
        <w:left w:val="none" w:sz="0" w:space="0" w:color="auto"/>
        <w:bottom w:val="none" w:sz="0" w:space="0" w:color="auto"/>
        <w:right w:val="none" w:sz="0" w:space="0" w:color="auto"/>
      </w:divBdr>
    </w:div>
    <w:div w:id="1413696308">
      <w:bodyDiv w:val="1"/>
      <w:marLeft w:val="0"/>
      <w:marRight w:val="0"/>
      <w:marTop w:val="0"/>
      <w:marBottom w:val="0"/>
      <w:divBdr>
        <w:top w:val="none" w:sz="0" w:space="0" w:color="auto"/>
        <w:left w:val="none" w:sz="0" w:space="0" w:color="auto"/>
        <w:bottom w:val="none" w:sz="0" w:space="0" w:color="auto"/>
        <w:right w:val="none" w:sz="0" w:space="0" w:color="auto"/>
      </w:divBdr>
    </w:div>
    <w:div w:id="1447388099">
      <w:bodyDiv w:val="1"/>
      <w:marLeft w:val="0"/>
      <w:marRight w:val="0"/>
      <w:marTop w:val="0"/>
      <w:marBottom w:val="0"/>
      <w:divBdr>
        <w:top w:val="none" w:sz="0" w:space="0" w:color="auto"/>
        <w:left w:val="none" w:sz="0" w:space="0" w:color="auto"/>
        <w:bottom w:val="none" w:sz="0" w:space="0" w:color="auto"/>
        <w:right w:val="none" w:sz="0" w:space="0" w:color="auto"/>
      </w:divBdr>
    </w:div>
    <w:div w:id="1503862201">
      <w:bodyDiv w:val="1"/>
      <w:marLeft w:val="0"/>
      <w:marRight w:val="0"/>
      <w:marTop w:val="0"/>
      <w:marBottom w:val="0"/>
      <w:divBdr>
        <w:top w:val="none" w:sz="0" w:space="0" w:color="auto"/>
        <w:left w:val="none" w:sz="0" w:space="0" w:color="auto"/>
        <w:bottom w:val="none" w:sz="0" w:space="0" w:color="auto"/>
        <w:right w:val="none" w:sz="0" w:space="0" w:color="auto"/>
      </w:divBdr>
    </w:div>
    <w:div w:id="1751392305">
      <w:bodyDiv w:val="1"/>
      <w:marLeft w:val="0"/>
      <w:marRight w:val="0"/>
      <w:marTop w:val="0"/>
      <w:marBottom w:val="0"/>
      <w:divBdr>
        <w:top w:val="none" w:sz="0" w:space="0" w:color="auto"/>
        <w:left w:val="none" w:sz="0" w:space="0" w:color="auto"/>
        <w:bottom w:val="none" w:sz="0" w:space="0" w:color="auto"/>
        <w:right w:val="none" w:sz="0" w:space="0" w:color="auto"/>
      </w:divBdr>
    </w:div>
    <w:div w:id="1762094233">
      <w:bodyDiv w:val="1"/>
      <w:marLeft w:val="60"/>
      <w:marRight w:val="60"/>
      <w:marTop w:val="60"/>
      <w:marBottom w:val="60"/>
      <w:divBdr>
        <w:top w:val="none" w:sz="0" w:space="0" w:color="auto"/>
        <w:left w:val="none" w:sz="0" w:space="0" w:color="auto"/>
        <w:bottom w:val="none" w:sz="0" w:space="0" w:color="auto"/>
        <w:right w:val="none" w:sz="0" w:space="0" w:color="auto"/>
      </w:divBdr>
      <w:divsChild>
        <w:div w:id="1730689668">
          <w:marLeft w:val="0"/>
          <w:marRight w:val="0"/>
          <w:marTop w:val="0"/>
          <w:marBottom w:val="0"/>
          <w:divBdr>
            <w:top w:val="none" w:sz="0" w:space="0" w:color="auto"/>
            <w:left w:val="none" w:sz="0" w:space="0" w:color="auto"/>
            <w:bottom w:val="none" w:sz="0" w:space="0" w:color="auto"/>
            <w:right w:val="none" w:sz="0" w:space="0" w:color="auto"/>
          </w:divBdr>
          <w:divsChild>
            <w:div w:id="3279061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9548358">
      <w:marLeft w:val="0"/>
      <w:marRight w:val="0"/>
      <w:marTop w:val="0"/>
      <w:marBottom w:val="0"/>
      <w:divBdr>
        <w:top w:val="none" w:sz="0" w:space="0" w:color="auto"/>
        <w:left w:val="none" w:sz="0" w:space="0" w:color="auto"/>
        <w:bottom w:val="none" w:sz="0" w:space="0" w:color="auto"/>
        <w:right w:val="none" w:sz="0" w:space="0" w:color="auto"/>
      </w:divBdr>
    </w:div>
    <w:div w:id="1789548359">
      <w:marLeft w:val="0"/>
      <w:marRight w:val="0"/>
      <w:marTop w:val="0"/>
      <w:marBottom w:val="0"/>
      <w:divBdr>
        <w:top w:val="none" w:sz="0" w:space="0" w:color="auto"/>
        <w:left w:val="none" w:sz="0" w:space="0" w:color="auto"/>
        <w:bottom w:val="none" w:sz="0" w:space="0" w:color="auto"/>
        <w:right w:val="none" w:sz="0" w:space="0" w:color="auto"/>
      </w:divBdr>
    </w:div>
    <w:div w:id="1789548360">
      <w:marLeft w:val="0"/>
      <w:marRight w:val="0"/>
      <w:marTop w:val="0"/>
      <w:marBottom w:val="0"/>
      <w:divBdr>
        <w:top w:val="none" w:sz="0" w:space="0" w:color="auto"/>
        <w:left w:val="none" w:sz="0" w:space="0" w:color="auto"/>
        <w:bottom w:val="none" w:sz="0" w:space="0" w:color="auto"/>
        <w:right w:val="none" w:sz="0" w:space="0" w:color="auto"/>
      </w:divBdr>
    </w:div>
    <w:div w:id="1789548361">
      <w:marLeft w:val="0"/>
      <w:marRight w:val="0"/>
      <w:marTop w:val="0"/>
      <w:marBottom w:val="0"/>
      <w:divBdr>
        <w:top w:val="none" w:sz="0" w:space="0" w:color="auto"/>
        <w:left w:val="none" w:sz="0" w:space="0" w:color="auto"/>
        <w:bottom w:val="none" w:sz="0" w:space="0" w:color="auto"/>
        <w:right w:val="none" w:sz="0" w:space="0" w:color="auto"/>
      </w:divBdr>
    </w:div>
    <w:div w:id="1789548363">
      <w:marLeft w:val="0"/>
      <w:marRight w:val="0"/>
      <w:marTop w:val="0"/>
      <w:marBottom w:val="0"/>
      <w:divBdr>
        <w:top w:val="none" w:sz="0" w:space="0" w:color="auto"/>
        <w:left w:val="none" w:sz="0" w:space="0" w:color="auto"/>
        <w:bottom w:val="none" w:sz="0" w:space="0" w:color="auto"/>
        <w:right w:val="none" w:sz="0" w:space="0" w:color="auto"/>
      </w:divBdr>
    </w:div>
    <w:div w:id="1789548365">
      <w:marLeft w:val="0"/>
      <w:marRight w:val="0"/>
      <w:marTop w:val="0"/>
      <w:marBottom w:val="0"/>
      <w:divBdr>
        <w:top w:val="none" w:sz="0" w:space="0" w:color="auto"/>
        <w:left w:val="none" w:sz="0" w:space="0" w:color="auto"/>
        <w:bottom w:val="none" w:sz="0" w:space="0" w:color="auto"/>
        <w:right w:val="none" w:sz="0" w:space="0" w:color="auto"/>
      </w:divBdr>
    </w:div>
    <w:div w:id="1789548366">
      <w:marLeft w:val="0"/>
      <w:marRight w:val="0"/>
      <w:marTop w:val="0"/>
      <w:marBottom w:val="0"/>
      <w:divBdr>
        <w:top w:val="none" w:sz="0" w:space="0" w:color="auto"/>
        <w:left w:val="none" w:sz="0" w:space="0" w:color="auto"/>
        <w:bottom w:val="none" w:sz="0" w:space="0" w:color="auto"/>
        <w:right w:val="none" w:sz="0" w:space="0" w:color="auto"/>
      </w:divBdr>
    </w:div>
    <w:div w:id="1789548368">
      <w:marLeft w:val="0"/>
      <w:marRight w:val="0"/>
      <w:marTop w:val="0"/>
      <w:marBottom w:val="0"/>
      <w:divBdr>
        <w:top w:val="none" w:sz="0" w:space="0" w:color="auto"/>
        <w:left w:val="none" w:sz="0" w:space="0" w:color="auto"/>
        <w:bottom w:val="none" w:sz="0" w:space="0" w:color="auto"/>
        <w:right w:val="none" w:sz="0" w:space="0" w:color="auto"/>
      </w:divBdr>
    </w:div>
    <w:div w:id="1789548369">
      <w:marLeft w:val="0"/>
      <w:marRight w:val="0"/>
      <w:marTop w:val="0"/>
      <w:marBottom w:val="0"/>
      <w:divBdr>
        <w:top w:val="none" w:sz="0" w:space="0" w:color="auto"/>
        <w:left w:val="none" w:sz="0" w:space="0" w:color="auto"/>
        <w:bottom w:val="none" w:sz="0" w:space="0" w:color="auto"/>
        <w:right w:val="none" w:sz="0" w:space="0" w:color="auto"/>
      </w:divBdr>
    </w:div>
    <w:div w:id="1789548370">
      <w:marLeft w:val="0"/>
      <w:marRight w:val="0"/>
      <w:marTop w:val="0"/>
      <w:marBottom w:val="0"/>
      <w:divBdr>
        <w:top w:val="none" w:sz="0" w:space="0" w:color="auto"/>
        <w:left w:val="none" w:sz="0" w:space="0" w:color="auto"/>
        <w:bottom w:val="none" w:sz="0" w:space="0" w:color="auto"/>
        <w:right w:val="none" w:sz="0" w:space="0" w:color="auto"/>
      </w:divBdr>
    </w:div>
    <w:div w:id="1789548371">
      <w:marLeft w:val="0"/>
      <w:marRight w:val="0"/>
      <w:marTop w:val="0"/>
      <w:marBottom w:val="0"/>
      <w:divBdr>
        <w:top w:val="none" w:sz="0" w:space="0" w:color="auto"/>
        <w:left w:val="none" w:sz="0" w:space="0" w:color="auto"/>
        <w:bottom w:val="none" w:sz="0" w:space="0" w:color="auto"/>
        <w:right w:val="none" w:sz="0" w:space="0" w:color="auto"/>
      </w:divBdr>
    </w:div>
    <w:div w:id="1789548372">
      <w:marLeft w:val="0"/>
      <w:marRight w:val="0"/>
      <w:marTop w:val="0"/>
      <w:marBottom w:val="0"/>
      <w:divBdr>
        <w:top w:val="none" w:sz="0" w:space="0" w:color="auto"/>
        <w:left w:val="none" w:sz="0" w:space="0" w:color="auto"/>
        <w:bottom w:val="none" w:sz="0" w:space="0" w:color="auto"/>
        <w:right w:val="none" w:sz="0" w:space="0" w:color="auto"/>
      </w:divBdr>
    </w:div>
    <w:div w:id="1789548373">
      <w:marLeft w:val="0"/>
      <w:marRight w:val="0"/>
      <w:marTop w:val="0"/>
      <w:marBottom w:val="0"/>
      <w:divBdr>
        <w:top w:val="none" w:sz="0" w:space="0" w:color="auto"/>
        <w:left w:val="none" w:sz="0" w:space="0" w:color="auto"/>
        <w:bottom w:val="none" w:sz="0" w:space="0" w:color="auto"/>
        <w:right w:val="none" w:sz="0" w:space="0" w:color="auto"/>
      </w:divBdr>
      <w:divsChild>
        <w:div w:id="1789548367">
          <w:marLeft w:val="0"/>
          <w:marRight w:val="0"/>
          <w:marTop w:val="0"/>
          <w:marBottom w:val="0"/>
          <w:divBdr>
            <w:top w:val="none" w:sz="0" w:space="0" w:color="auto"/>
            <w:left w:val="none" w:sz="0" w:space="0" w:color="auto"/>
            <w:bottom w:val="none" w:sz="0" w:space="0" w:color="auto"/>
            <w:right w:val="none" w:sz="0" w:space="0" w:color="auto"/>
          </w:divBdr>
        </w:div>
        <w:div w:id="1789548388">
          <w:marLeft w:val="0"/>
          <w:marRight w:val="0"/>
          <w:marTop w:val="0"/>
          <w:marBottom w:val="0"/>
          <w:divBdr>
            <w:top w:val="none" w:sz="0" w:space="0" w:color="auto"/>
            <w:left w:val="none" w:sz="0" w:space="0" w:color="auto"/>
            <w:bottom w:val="none" w:sz="0" w:space="0" w:color="auto"/>
            <w:right w:val="none" w:sz="0" w:space="0" w:color="auto"/>
          </w:divBdr>
        </w:div>
      </w:divsChild>
    </w:div>
    <w:div w:id="1789548375">
      <w:marLeft w:val="0"/>
      <w:marRight w:val="0"/>
      <w:marTop w:val="0"/>
      <w:marBottom w:val="0"/>
      <w:divBdr>
        <w:top w:val="none" w:sz="0" w:space="0" w:color="auto"/>
        <w:left w:val="none" w:sz="0" w:space="0" w:color="auto"/>
        <w:bottom w:val="none" w:sz="0" w:space="0" w:color="auto"/>
        <w:right w:val="none" w:sz="0" w:space="0" w:color="auto"/>
      </w:divBdr>
    </w:div>
    <w:div w:id="1789548376">
      <w:marLeft w:val="0"/>
      <w:marRight w:val="0"/>
      <w:marTop w:val="0"/>
      <w:marBottom w:val="0"/>
      <w:divBdr>
        <w:top w:val="none" w:sz="0" w:space="0" w:color="auto"/>
        <w:left w:val="none" w:sz="0" w:space="0" w:color="auto"/>
        <w:bottom w:val="none" w:sz="0" w:space="0" w:color="auto"/>
        <w:right w:val="none" w:sz="0" w:space="0" w:color="auto"/>
      </w:divBdr>
    </w:div>
    <w:div w:id="1789548377">
      <w:marLeft w:val="0"/>
      <w:marRight w:val="0"/>
      <w:marTop w:val="0"/>
      <w:marBottom w:val="0"/>
      <w:divBdr>
        <w:top w:val="none" w:sz="0" w:space="0" w:color="auto"/>
        <w:left w:val="none" w:sz="0" w:space="0" w:color="auto"/>
        <w:bottom w:val="none" w:sz="0" w:space="0" w:color="auto"/>
        <w:right w:val="none" w:sz="0" w:space="0" w:color="auto"/>
      </w:divBdr>
    </w:div>
    <w:div w:id="1789548378">
      <w:marLeft w:val="0"/>
      <w:marRight w:val="0"/>
      <w:marTop w:val="0"/>
      <w:marBottom w:val="0"/>
      <w:divBdr>
        <w:top w:val="none" w:sz="0" w:space="0" w:color="auto"/>
        <w:left w:val="none" w:sz="0" w:space="0" w:color="auto"/>
        <w:bottom w:val="none" w:sz="0" w:space="0" w:color="auto"/>
        <w:right w:val="none" w:sz="0" w:space="0" w:color="auto"/>
      </w:divBdr>
    </w:div>
    <w:div w:id="1789548379">
      <w:marLeft w:val="0"/>
      <w:marRight w:val="0"/>
      <w:marTop w:val="0"/>
      <w:marBottom w:val="0"/>
      <w:divBdr>
        <w:top w:val="none" w:sz="0" w:space="0" w:color="auto"/>
        <w:left w:val="none" w:sz="0" w:space="0" w:color="auto"/>
        <w:bottom w:val="none" w:sz="0" w:space="0" w:color="auto"/>
        <w:right w:val="none" w:sz="0" w:space="0" w:color="auto"/>
      </w:divBdr>
      <w:divsChild>
        <w:div w:id="1789548362">
          <w:marLeft w:val="0"/>
          <w:marRight w:val="0"/>
          <w:marTop w:val="0"/>
          <w:marBottom w:val="0"/>
          <w:divBdr>
            <w:top w:val="none" w:sz="0" w:space="0" w:color="auto"/>
            <w:left w:val="none" w:sz="0" w:space="0" w:color="auto"/>
            <w:bottom w:val="none" w:sz="0" w:space="0" w:color="auto"/>
            <w:right w:val="none" w:sz="0" w:space="0" w:color="auto"/>
          </w:divBdr>
          <w:divsChild>
            <w:div w:id="17895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80">
      <w:marLeft w:val="0"/>
      <w:marRight w:val="0"/>
      <w:marTop w:val="0"/>
      <w:marBottom w:val="0"/>
      <w:divBdr>
        <w:top w:val="none" w:sz="0" w:space="0" w:color="auto"/>
        <w:left w:val="none" w:sz="0" w:space="0" w:color="auto"/>
        <w:bottom w:val="none" w:sz="0" w:space="0" w:color="auto"/>
        <w:right w:val="none" w:sz="0" w:space="0" w:color="auto"/>
      </w:divBdr>
    </w:div>
    <w:div w:id="1789548381">
      <w:marLeft w:val="0"/>
      <w:marRight w:val="0"/>
      <w:marTop w:val="0"/>
      <w:marBottom w:val="0"/>
      <w:divBdr>
        <w:top w:val="none" w:sz="0" w:space="0" w:color="auto"/>
        <w:left w:val="none" w:sz="0" w:space="0" w:color="auto"/>
        <w:bottom w:val="none" w:sz="0" w:space="0" w:color="auto"/>
        <w:right w:val="none" w:sz="0" w:space="0" w:color="auto"/>
      </w:divBdr>
    </w:div>
    <w:div w:id="1789548382">
      <w:marLeft w:val="0"/>
      <w:marRight w:val="0"/>
      <w:marTop w:val="0"/>
      <w:marBottom w:val="0"/>
      <w:divBdr>
        <w:top w:val="none" w:sz="0" w:space="0" w:color="auto"/>
        <w:left w:val="none" w:sz="0" w:space="0" w:color="auto"/>
        <w:bottom w:val="none" w:sz="0" w:space="0" w:color="auto"/>
        <w:right w:val="none" w:sz="0" w:space="0" w:color="auto"/>
      </w:divBdr>
    </w:div>
    <w:div w:id="1789548383">
      <w:marLeft w:val="0"/>
      <w:marRight w:val="0"/>
      <w:marTop w:val="0"/>
      <w:marBottom w:val="0"/>
      <w:divBdr>
        <w:top w:val="none" w:sz="0" w:space="0" w:color="auto"/>
        <w:left w:val="none" w:sz="0" w:space="0" w:color="auto"/>
        <w:bottom w:val="none" w:sz="0" w:space="0" w:color="auto"/>
        <w:right w:val="none" w:sz="0" w:space="0" w:color="auto"/>
      </w:divBdr>
    </w:div>
    <w:div w:id="1789548384">
      <w:marLeft w:val="0"/>
      <w:marRight w:val="0"/>
      <w:marTop w:val="0"/>
      <w:marBottom w:val="0"/>
      <w:divBdr>
        <w:top w:val="none" w:sz="0" w:space="0" w:color="auto"/>
        <w:left w:val="none" w:sz="0" w:space="0" w:color="auto"/>
        <w:bottom w:val="none" w:sz="0" w:space="0" w:color="auto"/>
        <w:right w:val="none" w:sz="0" w:space="0" w:color="auto"/>
      </w:divBdr>
    </w:div>
    <w:div w:id="1789548385">
      <w:marLeft w:val="0"/>
      <w:marRight w:val="0"/>
      <w:marTop w:val="0"/>
      <w:marBottom w:val="0"/>
      <w:divBdr>
        <w:top w:val="none" w:sz="0" w:space="0" w:color="auto"/>
        <w:left w:val="none" w:sz="0" w:space="0" w:color="auto"/>
        <w:bottom w:val="none" w:sz="0" w:space="0" w:color="auto"/>
        <w:right w:val="none" w:sz="0" w:space="0" w:color="auto"/>
      </w:divBdr>
    </w:div>
    <w:div w:id="1789548386">
      <w:marLeft w:val="0"/>
      <w:marRight w:val="0"/>
      <w:marTop w:val="0"/>
      <w:marBottom w:val="0"/>
      <w:divBdr>
        <w:top w:val="none" w:sz="0" w:space="0" w:color="auto"/>
        <w:left w:val="none" w:sz="0" w:space="0" w:color="auto"/>
        <w:bottom w:val="none" w:sz="0" w:space="0" w:color="auto"/>
        <w:right w:val="none" w:sz="0" w:space="0" w:color="auto"/>
      </w:divBdr>
      <w:divsChild>
        <w:div w:id="1789548374">
          <w:marLeft w:val="0"/>
          <w:marRight w:val="0"/>
          <w:marTop w:val="0"/>
          <w:marBottom w:val="0"/>
          <w:divBdr>
            <w:top w:val="none" w:sz="0" w:space="0" w:color="auto"/>
            <w:left w:val="none" w:sz="0" w:space="0" w:color="auto"/>
            <w:bottom w:val="none" w:sz="0" w:space="0" w:color="auto"/>
            <w:right w:val="none" w:sz="0" w:space="0" w:color="auto"/>
          </w:divBdr>
        </w:div>
      </w:divsChild>
    </w:div>
    <w:div w:id="1789548387">
      <w:marLeft w:val="0"/>
      <w:marRight w:val="0"/>
      <w:marTop w:val="0"/>
      <w:marBottom w:val="0"/>
      <w:divBdr>
        <w:top w:val="none" w:sz="0" w:space="0" w:color="auto"/>
        <w:left w:val="none" w:sz="0" w:space="0" w:color="auto"/>
        <w:bottom w:val="none" w:sz="0" w:space="0" w:color="auto"/>
        <w:right w:val="none" w:sz="0" w:space="0" w:color="auto"/>
      </w:divBdr>
    </w:div>
    <w:div w:id="1789548389">
      <w:marLeft w:val="0"/>
      <w:marRight w:val="0"/>
      <w:marTop w:val="0"/>
      <w:marBottom w:val="0"/>
      <w:divBdr>
        <w:top w:val="none" w:sz="0" w:space="0" w:color="auto"/>
        <w:left w:val="none" w:sz="0" w:space="0" w:color="auto"/>
        <w:bottom w:val="none" w:sz="0" w:space="0" w:color="auto"/>
        <w:right w:val="none" w:sz="0" w:space="0" w:color="auto"/>
      </w:divBdr>
    </w:div>
    <w:div w:id="1789548391">
      <w:marLeft w:val="0"/>
      <w:marRight w:val="0"/>
      <w:marTop w:val="0"/>
      <w:marBottom w:val="0"/>
      <w:divBdr>
        <w:top w:val="none" w:sz="0" w:space="0" w:color="auto"/>
        <w:left w:val="none" w:sz="0" w:space="0" w:color="auto"/>
        <w:bottom w:val="none" w:sz="0" w:space="0" w:color="auto"/>
        <w:right w:val="none" w:sz="0" w:space="0" w:color="auto"/>
      </w:divBdr>
    </w:div>
    <w:div w:id="1789548392">
      <w:marLeft w:val="60"/>
      <w:marRight w:val="60"/>
      <w:marTop w:val="60"/>
      <w:marBottom w:val="60"/>
      <w:divBdr>
        <w:top w:val="none" w:sz="0" w:space="0" w:color="auto"/>
        <w:left w:val="none" w:sz="0" w:space="0" w:color="auto"/>
        <w:bottom w:val="none" w:sz="0" w:space="0" w:color="auto"/>
        <w:right w:val="none" w:sz="0" w:space="0" w:color="auto"/>
      </w:divBdr>
      <w:divsChild>
        <w:div w:id="1789548390">
          <w:marLeft w:val="0"/>
          <w:marRight w:val="0"/>
          <w:marTop w:val="0"/>
          <w:marBottom w:val="0"/>
          <w:divBdr>
            <w:top w:val="none" w:sz="0" w:space="0" w:color="auto"/>
            <w:left w:val="none" w:sz="0" w:space="0" w:color="auto"/>
            <w:bottom w:val="none" w:sz="0" w:space="0" w:color="auto"/>
            <w:right w:val="none" w:sz="0" w:space="0" w:color="auto"/>
          </w:divBdr>
          <w:divsChild>
            <w:div w:id="17895484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9548393">
      <w:marLeft w:val="0"/>
      <w:marRight w:val="0"/>
      <w:marTop w:val="0"/>
      <w:marBottom w:val="0"/>
      <w:divBdr>
        <w:top w:val="none" w:sz="0" w:space="0" w:color="auto"/>
        <w:left w:val="none" w:sz="0" w:space="0" w:color="auto"/>
        <w:bottom w:val="none" w:sz="0" w:space="0" w:color="auto"/>
        <w:right w:val="none" w:sz="0" w:space="0" w:color="auto"/>
      </w:divBdr>
    </w:div>
    <w:div w:id="1789548394">
      <w:marLeft w:val="0"/>
      <w:marRight w:val="0"/>
      <w:marTop w:val="0"/>
      <w:marBottom w:val="0"/>
      <w:divBdr>
        <w:top w:val="none" w:sz="0" w:space="0" w:color="auto"/>
        <w:left w:val="none" w:sz="0" w:space="0" w:color="auto"/>
        <w:bottom w:val="none" w:sz="0" w:space="0" w:color="auto"/>
        <w:right w:val="none" w:sz="0" w:space="0" w:color="auto"/>
      </w:divBdr>
    </w:div>
    <w:div w:id="1789548395">
      <w:marLeft w:val="0"/>
      <w:marRight w:val="0"/>
      <w:marTop w:val="0"/>
      <w:marBottom w:val="0"/>
      <w:divBdr>
        <w:top w:val="none" w:sz="0" w:space="0" w:color="auto"/>
        <w:left w:val="none" w:sz="0" w:space="0" w:color="auto"/>
        <w:bottom w:val="none" w:sz="0" w:space="0" w:color="auto"/>
        <w:right w:val="none" w:sz="0" w:space="0" w:color="auto"/>
      </w:divBdr>
    </w:div>
    <w:div w:id="1789548396">
      <w:marLeft w:val="0"/>
      <w:marRight w:val="0"/>
      <w:marTop w:val="0"/>
      <w:marBottom w:val="0"/>
      <w:divBdr>
        <w:top w:val="none" w:sz="0" w:space="0" w:color="auto"/>
        <w:left w:val="none" w:sz="0" w:space="0" w:color="auto"/>
        <w:bottom w:val="none" w:sz="0" w:space="0" w:color="auto"/>
        <w:right w:val="none" w:sz="0" w:space="0" w:color="auto"/>
      </w:divBdr>
    </w:div>
    <w:div w:id="1789548397">
      <w:marLeft w:val="0"/>
      <w:marRight w:val="0"/>
      <w:marTop w:val="0"/>
      <w:marBottom w:val="0"/>
      <w:divBdr>
        <w:top w:val="none" w:sz="0" w:space="0" w:color="auto"/>
        <w:left w:val="none" w:sz="0" w:space="0" w:color="auto"/>
        <w:bottom w:val="none" w:sz="0" w:space="0" w:color="auto"/>
        <w:right w:val="none" w:sz="0" w:space="0" w:color="auto"/>
      </w:divBdr>
    </w:div>
    <w:div w:id="1789548398">
      <w:marLeft w:val="0"/>
      <w:marRight w:val="0"/>
      <w:marTop w:val="0"/>
      <w:marBottom w:val="0"/>
      <w:divBdr>
        <w:top w:val="none" w:sz="0" w:space="0" w:color="auto"/>
        <w:left w:val="none" w:sz="0" w:space="0" w:color="auto"/>
        <w:bottom w:val="none" w:sz="0" w:space="0" w:color="auto"/>
        <w:right w:val="none" w:sz="0" w:space="0" w:color="auto"/>
      </w:divBdr>
    </w:div>
    <w:div w:id="1789548399">
      <w:marLeft w:val="0"/>
      <w:marRight w:val="0"/>
      <w:marTop w:val="0"/>
      <w:marBottom w:val="0"/>
      <w:divBdr>
        <w:top w:val="none" w:sz="0" w:space="0" w:color="auto"/>
        <w:left w:val="none" w:sz="0" w:space="0" w:color="auto"/>
        <w:bottom w:val="none" w:sz="0" w:space="0" w:color="auto"/>
        <w:right w:val="none" w:sz="0" w:space="0" w:color="auto"/>
      </w:divBdr>
    </w:div>
    <w:div w:id="1789548400">
      <w:marLeft w:val="0"/>
      <w:marRight w:val="0"/>
      <w:marTop w:val="0"/>
      <w:marBottom w:val="0"/>
      <w:divBdr>
        <w:top w:val="none" w:sz="0" w:space="0" w:color="auto"/>
        <w:left w:val="none" w:sz="0" w:space="0" w:color="auto"/>
        <w:bottom w:val="none" w:sz="0" w:space="0" w:color="auto"/>
        <w:right w:val="none" w:sz="0" w:space="0" w:color="auto"/>
      </w:divBdr>
    </w:div>
    <w:div w:id="1789548402">
      <w:marLeft w:val="0"/>
      <w:marRight w:val="0"/>
      <w:marTop w:val="0"/>
      <w:marBottom w:val="0"/>
      <w:divBdr>
        <w:top w:val="none" w:sz="0" w:space="0" w:color="auto"/>
        <w:left w:val="none" w:sz="0" w:space="0" w:color="auto"/>
        <w:bottom w:val="none" w:sz="0" w:space="0" w:color="auto"/>
        <w:right w:val="none" w:sz="0" w:space="0" w:color="auto"/>
      </w:divBdr>
    </w:div>
    <w:div w:id="1789548403">
      <w:marLeft w:val="0"/>
      <w:marRight w:val="0"/>
      <w:marTop w:val="0"/>
      <w:marBottom w:val="0"/>
      <w:divBdr>
        <w:top w:val="none" w:sz="0" w:space="0" w:color="auto"/>
        <w:left w:val="none" w:sz="0" w:space="0" w:color="auto"/>
        <w:bottom w:val="none" w:sz="0" w:space="0" w:color="auto"/>
        <w:right w:val="none" w:sz="0" w:space="0" w:color="auto"/>
      </w:divBdr>
    </w:div>
    <w:div w:id="1952858984">
      <w:bodyDiv w:val="1"/>
      <w:marLeft w:val="0"/>
      <w:marRight w:val="0"/>
      <w:marTop w:val="0"/>
      <w:marBottom w:val="0"/>
      <w:divBdr>
        <w:top w:val="none" w:sz="0" w:space="0" w:color="auto"/>
        <w:left w:val="none" w:sz="0" w:space="0" w:color="auto"/>
        <w:bottom w:val="none" w:sz="0" w:space="0" w:color="auto"/>
        <w:right w:val="none" w:sz="0" w:space="0" w:color="auto"/>
      </w:divBdr>
    </w:div>
    <w:div w:id="1975215982">
      <w:bodyDiv w:val="1"/>
      <w:marLeft w:val="0"/>
      <w:marRight w:val="0"/>
      <w:marTop w:val="0"/>
      <w:marBottom w:val="0"/>
      <w:divBdr>
        <w:top w:val="none" w:sz="0" w:space="0" w:color="auto"/>
        <w:left w:val="none" w:sz="0" w:space="0" w:color="auto"/>
        <w:bottom w:val="none" w:sz="0" w:space="0" w:color="auto"/>
        <w:right w:val="none" w:sz="0" w:space="0" w:color="auto"/>
      </w:divBdr>
    </w:div>
    <w:div w:id="1979647713">
      <w:bodyDiv w:val="1"/>
      <w:marLeft w:val="0"/>
      <w:marRight w:val="0"/>
      <w:marTop w:val="0"/>
      <w:marBottom w:val="0"/>
      <w:divBdr>
        <w:top w:val="none" w:sz="0" w:space="0" w:color="auto"/>
        <w:left w:val="none" w:sz="0" w:space="0" w:color="auto"/>
        <w:bottom w:val="none" w:sz="0" w:space="0" w:color="auto"/>
        <w:right w:val="none" w:sz="0" w:space="0" w:color="auto"/>
      </w:divBdr>
    </w:div>
    <w:div w:id="1981301515">
      <w:bodyDiv w:val="1"/>
      <w:marLeft w:val="0"/>
      <w:marRight w:val="0"/>
      <w:marTop w:val="0"/>
      <w:marBottom w:val="0"/>
      <w:divBdr>
        <w:top w:val="none" w:sz="0" w:space="0" w:color="auto"/>
        <w:left w:val="none" w:sz="0" w:space="0" w:color="auto"/>
        <w:bottom w:val="none" w:sz="0" w:space="0" w:color="auto"/>
        <w:right w:val="none" w:sz="0" w:space="0" w:color="auto"/>
      </w:divBdr>
      <w:divsChild>
        <w:div w:id="480777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712279">
              <w:marLeft w:val="0"/>
              <w:marRight w:val="0"/>
              <w:marTop w:val="0"/>
              <w:marBottom w:val="0"/>
              <w:divBdr>
                <w:top w:val="none" w:sz="0" w:space="0" w:color="auto"/>
                <w:left w:val="none" w:sz="0" w:space="0" w:color="auto"/>
                <w:bottom w:val="none" w:sz="0" w:space="0" w:color="auto"/>
                <w:right w:val="none" w:sz="0" w:space="0" w:color="auto"/>
              </w:divBdr>
              <w:divsChild>
                <w:div w:id="919096402">
                  <w:marLeft w:val="0"/>
                  <w:marRight w:val="0"/>
                  <w:marTop w:val="0"/>
                  <w:marBottom w:val="0"/>
                  <w:divBdr>
                    <w:top w:val="none" w:sz="0" w:space="0" w:color="auto"/>
                    <w:left w:val="none" w:sz="0" w:space="0" w:color="auto"/>
                    <w:bottom w:val="none" w:sz="0" w:space="0" w:color="auto"/>
                    <w:right w:val="none" w:sz="0" w:space="0" w:color="auto"/>
                  </w:divBdr>
                  <w:divsChild>
                    <w:div w:id="25193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2148">
                          <w:marLeft w:val="0"/>
                          <w:marRight w:val="0"/>
                          <w:marTop w:val="0"/>
                          <w:marBottom w:val="0"/>
                          <w:divBdr>
                            <w:top w:val="none" w:sz="0" w:space="0" w:color="auto"/>
                            <w:left w:val="none" w:sz="0" w:space="0" w:color="auto"/>
                            <w:bottom w:val="none" w:sz="0" w:space="0" w:color="auto"/>
                            <w:right w:val="none" w:sz="0" w:space="0" w:color="auto"/>
                          </w:divBdr>
                          <w:divsChild>
                            <w:div w:id="1449739000">
                              <w:marLeft w:val="0"/>
                              <w:marRight w:val="0"/>
                              <w:marTop w:val="0"/>
                              <w:marBottom w:val="0"/>
                              <w:divBdr>
                                <w:top w:val="none" w:sz="0" w:space="0" w:color="auto"/>
                                <w:left w:val="none" w:sz="0" w:space="0" w:color="auto"/>
                                <w:bottom w:val="none" w:sz="0" w:space="0" w:color="auto"/>
                                <w:right w:val="none" w:sz="0" w:space="0" w:color="auto"/>
                              </w:divBdr>
                              <w:divsChild>
                                <w:div w:id="1200896827">
                                  <w:marLeft w:val="0"/>
                                  <w:marRight w:val="0"/>
                                  <w:marTop w:val="0"/>
                                  <w:marBottom w:val="0"/>
                                  <w:divBdr>
                                    <w:top w:val="none" w:sz="0" w:space="0" w:color="auto"/>
                                    <w:left w:val="none" w:sz="0" w:space="0" w:color="auto"/>
                                    <w:bottom w:val="none" w:sz="0" w:space="0" w:color="auto"/>
                                    <w:right w:val="none" w:sz="0" w:space="0" w:color="auto"/>
                                  </w:divBdr>
                                  <w:divsChild>
                                    <w:div w:id="503589623">
                                      <w:marLeft w:val="0"/>
                                      <w:marRight w:val="0"/>
                                      <w:marTop w:val="0"/>
                                      <w:marBottom w:val="0"/>
                                      <w:divBdr>
                                        <w:top w:val="none" w:sz="0" w:space="0" w:color="auto"/>
                                        <w:left w:val="none" w:sz="0" w:space="0" w:color="auto"/>
                                        <w:bottom w:val="none" w:sz="0" w:space="0" w:color="auto"/>
                                        <w:right w:val="none" w:sz="0" w:space="0" w:color="auto"/>
                                      </w:divBdr>
                                      <w:divsChild>
                                        <w:div w:id="958220767">
                                          <w:marLeft w:val="0"/>
                                          <w:marRight w:val="0"/>
                                          <w:marTop w:val="0"/>
                                          <w:marBottom w:val="0"/>
                                          <w:divBdr>
                                            <w:top w:val="none" w:sz="0" w:space="0" w:color="auto"/>
                                            <w:left w:val="none" w:sz="0" w:space="0" w:color="auto"/>
                                            <w:bottom w:val="none" w:sz="0" w:space="0" w:color="auto"/>
                                            <w:right w:val="none" w:sz="0" w:space="0" w:color="auto"/>
                                          </w:divBdr>
                                          <w:divsChild>
                                            <w:div w:id="70729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591996">
                                                  <w:marLeft w:val="0"/>
                                                  <w:marRight w:val="0"/>
                                                  <w:marTop w:val="0"/>
                                                  <w:marBottom w:val="0"/>
                                                  <w:divBdr>
                                                    <w:top w:val="none" w:sz="0" w:space="0" w:color="auto"/>
                                                    <w:left w:val="none" w:sz="0" w:space="0" w:color="auto"/>
                                                    <w:bottom w:val="none" w:sz="0" w:space="0" w:color="auto"/>
                                                    <w:right w:val="none" w:sz="0" w:space="0" w:color="auto"/>
                                                  </w:divBdr>
                                                  <w:divsChild>
                                                    <w:div w:id="1223830672">
                                                      <w:marLeft w:val="0"/>
                                                      <w:marRight w:val="0"/>
                                                      <w:marTop w:val="0"/>
                                                      <w:marBottom w:val="0"/>
                                                      <w:divBdr>
                                                        <w:top w:val="none" w:sz="0" w:space="0" w:color="auto"/>
                                                        <w:left w:val="none" w:sz="0" w:space="0" w:color="auto"/>
                                                        <w:bottom w:val="none" w:sz="0" w:space="0" w:color="auto"/>
                                                        <w:right w:val="none" w:sz="0" w:space="0" w:color="auto"/>
                                                      </w:divBdr>
                                                      <w:divsChild>
                                                        <w:div w:id="1888948590">
                                                          <w:marLeft w:val="0"/>
                                                          <w:marRight w:val="0"/>
                                                          <w:marTop w:val="0"/>
                                                          <w:marBottom w:val="0"/>
                                                          <w:divBdr>
                                                            <w:top w:val="none" w:sz="0" w:space="0" w:color="auto"/>
                                                            <w:left w:val="none" w:sz="0" w:space="0" w:color="auto"/>
                                                            <w:bottom w:val="none" w:sz="0" w:space="0" w:color="auto"/>
                                                            <w:right w:val="none" w:sz="0" w:space="0" w:color="auto"/>
                                                          </w:divBdr>
                                                          <w:divsChild>
                                                            <w:div w:id="82381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783058">
                                                                  <w:marLeft w:val="0"/>
                                                                  <w:marRight w:val="0"/>
                                                                  <w:marTop w:val="0"/>
                                                                  <w:marBottom w:val="0"/>
                                                                  <w:divBdr>
                                                                    <w:top w:val="none" w:sz="0" w:space="0" w:color="auto"/>
                                                                    <w:left w:val="none" w:sz="0" w:space="0" w:color="auto"/>
                                                                    <w:bottom w:val="none" w:sz="0" w:space="0" w:color="auto"/>
                                                                    <w:right w:val="none" w:sz="0" w:space="0" w:color="auto"/>
                                                                  </w:divBdr>
                                                                  <w:divsChild>
                                                                    <w:div w:id="1348209860">
                                                                      <w:marLeft w:val="0"/>
                                                                      <w:marRight w:val="0"/>
                                                                      <w:marTop w:val="0"/>
                                                                      <w:marBottom w:val="0"/>
                                                                      <w:divBdr>
                                                                        <w:top w:val="none" w:sz="0" w:space="0" w:color="auto"/>
                                                                        <w:left w:val="none" w:sz="0" w:space="0" w:color="auto"/>
                                                                        <w:bottom w:val="none" w:sz="0" w:space="0" w:color="auto"/>
                                                                        <w:right w:val="none" w:sz="0" w:space="0" w:color="auto"/>
                                                                      </w:divBdr>
                                                                      <w:divsChild>
                                                                        <w:div w:id="138890117">
                                                                          <w:marLeft w:val="0"/>
                                                                          <w:marRight w:val="0"/>
                                                                          <w:marTop w:val="0"/>
                                                                          <w:marBottom w:val="0"/>
                                                                          <w:divBdr>
                                                                            <w:top w:val="none" w:sz="0" w:space="0" w:color="auto"/>
                                                                            <w:left w:val="none" w:sz="0" w:space="0" w:color="auto"/>
                                                                            <w:bottom w:val="none" w:sz="0" w:space="0" w:color="auto"/>
                                                                            <w:right w:val="none" w:sz="0" w:space="0" w:color="auto"/>
                                                                          </w:divBdr>
                                                                          <w:divsChild>
                                                                            <w:div w:id="326246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96701">
                                                                                  <w:marLeft w:val="0"/>
                                                                                  <w:marRight w:val="0"/>
                                                                                  <w:marTop w:val="0"/>
                                                                                  <w:marBottom w:val="0"/>
                                                                                  <w:divBdr>
                                                                                    <w:top w:val="none" w:sz="0" w:space="0" w:color="auto"/>
                                                                                    <w:left w:val="none" w:sz="0" w:space="0" w:color="auto"/>
                                                                                    <w:bottom w:val="none" w:sz="0" w:space="0" w:color="auto"/>
                                                                                    <w:right w:val="none" w:sz="0" w:space="0" w:color="auto"/>
                                                                                  </w:divBdr>
                                                                                  <w:divsChild>
                                                                                    <w:div w:id="1376126564">
                                                                                      <w:marLeft w:val="0"/>
                                                                                      <w:marRight w:val="0"/>
                                                                                      <w:marTop w:val="0"/>
                                                                                      <w:marBottom w:val="0"/>
                                                                                      <w:divBdr>
                                                                                        <w:top w:val="none" w:sz="0" w:space="0" w:color="auto"/>
                                                                                        <w:left w:val="none" w:sz="0" w:space="0" w:color="auto"/>
                                                                                        <w:bottom w:val="none" w:sz="0" w:space="0" w:color="auto"/>
                                                                                        <w:right w:val="none" w:sz="0" w:space="0" w:color="auto"/>
                                                                                      </w:divBdr>
                                                                                      <w:divsChild>
                                                                                        <w:div w:id="1020200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597336">
                                                                                              <w:marLeft w:val="0"/>
                                                                                              <w:marRight w:val="0"/>
                                                                                              <w:marTop w:val="0"/>
                                                                                              <w:marBottom w:val="0"/>
                                                                                              <w:divBdr>
                                                                                                <w:top w:val="none" w:sz="0" w:space="0" w:color="auto"/>
                                                                                                <w:left w:val="none" w:sz="0" w:space="0" w:color="auto"/>
                                                                                                <w:bottom w:val="none" w:sz="0" w:space="0" w:color="auto"/>
                                                                                                <w:right w:val="none" w:sz="0" w:space="0" w:color="auto"/>
                                                                                              </w:divBdr>
                                                                                              <w:divsChild>
                                                                                                <w:div w:id="135074522">
                                                                                                  <w:marLeft w:val="0"/>
                                                                                                  <w:marRight w:val="0"/>
                                                                                                  <w:marTop w:val="0"/>
                                                                                                  <w:marBottom w:val="0"/>
                                                                                                  <w:divBdr>
                                                                                                    <w:top w:val="none" w:sz="0" w:space="0" w:color="auto"/>
                                                                                                    <w:left w:val="none" w:sz="0" w:space="0" w:color="auto"/>
                                                                                                    <w:bottom w:val="none" w:sz="0" w:space="0" w:color="auto"/>
                                                                                                    <w:right w:val="none" w:sz="0" w:space="0" w:color="auto"/>
                                                                                                  </w:divBdr>
                                                                                                  <w:divsChild>
                                                                                                    <w:div w:id="412434757">
                                                                                                      <w:marLeft w:val="0"/>
                                                                                                      <w:marRight w:val="0"/>
                                                                                                      <w:marTop w:val="0"/>
                                                                                                      <w:marBottom w:val="0"/>
                                                                                                      <w:divBdr>
                                                                                                        <w:top w:val="none" w:sz="0" w:space="0" w:color="auto"/>
                                                                                                        <w:left w:val="none" w:sz="0" w:space="0" w:color="auto"/>
                                                                                                        <w:bottom w:val="none" w:sz="0" w:space="0" w:color="auto"/>
                                                                                                        <w:right w:val="none" w:sz="0" w:space="0" w:color="auto"/>
                                                                                                      </w:divBdr>
                                                                                                      <w:divsChild>
                                                                                                        <w:div w:id="85344848">
                                                                                                          <w:marLeft w:val="0"/>
                                                                                                          <w:marRight w:val="0"/>
                                                                                                          <w:marTop w:val="0"/>
                                                                                                          <w:marBottom w:val="0"/>
                                                                                                          <w:divBdr>
                                                                                                            <w:top w:val="none" w:sz="0" w:space="0" w:color="auto"/>
                                                                                                            <w:left w:val="none" w:sz="0" w:space="0" w:color="auto"/>
                                                                                                            <w:bottom w:val="none" w:sz="0" w:space="0" w:color="auto"/>
                                                                                                            <w:right w:val="none" w:sz="0" w:space="0" w:color="auto"/>
                                                                                                          </w:divBdr>
                                                                                                          <w:divsChild>
                                                                                                            <w:div w:id="634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637747">
      <w:bodyDiv w:val="1"/>
      <w:marLeft w:val="0"/>
      <w:marRight w:val="0"/>
      <w:marTop w:val="0"/>
      <w:marBottom w:val="0"/>
      <w:divBdr>
        <w:top w:val="none" w:sz="0" w:space="0" w:color="auto"/>
        <w:left w:val="none" w:sz="0" w:space="0" w:color="auto"/>
        <w:bottom w:val="none" w:sz="0" w:space="0" w:color="auto"/>
        <w:right w:val="none" w:sz="0" w:space="0" w:color="auto"/>
      </w:divBdr>
    </w:div>
    <w:div w:id="2013023267">
      <w:bodyDiv w:val="1"/>
      <w:marLeft w:val="0"/>
      <w:marRight w:val="0"/>
      <w:marTop w:val="0"/>
      <w:marBottom w:val="0"/>
      <w:divBdr>
        <w:top w:val="none" w:sz="0" w:space="0" w:color="auto"/>
        <w:left w:val="none" w:sz="0" w:space="0" w:color="auto"/>
        <w:bottom w:val="none" w:sz="0" w:space="0" w:color="auto"/>
        <w:right w:val="none" w:sz="0" w:space="0" w:color="auto"/>
      </w:divBdr>
    </w:div>
    <w:div w:id="20629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t.com/cms/s/0/3de2aab8-b78f-11de-9812-00144feab49a.html?nclick_check=1" TargetMode="External"/><Relationship Id="rId26" Type="http://schemas.openxmlformats.org/officeDocument/2006/relationships/hyperlink" Target="http://www.gao.gov/new.items/d09739.pdf" TargetMode="External"/><Relationship Id="rId39" Type="http://schemas.openxmlformats.org/officeDocument/2006/relationships/image" Target="media/image12.emf"/><Relationship Id="rId21" Type="http://schemas.openxmlformats.org/officeDocument/2006/relationships/hyperlink" Target="http://www.cfainstitute.org/about/press/release/Pages/04172008_16457.aspx" TargetMode="External"/><Relationship Id="rId34" Type="http://schemas.openxmlformats.org/officeDocument/2006/relationships/image" Target="media/image8.emf"/><Relationship Id="rId42" Type="http://schemas.openxmlformats.org/officeDocument/2006/relationships/image" Target="media/image15.e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ba.com/aba/documents/news/G20Letter9909.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roni@bus.msu.edu" TargetMode="External"/><Relationship Id="rId24" Type="http://schemas.openxmlformats.org/officeDocument/2006/relationships/hyperlink" Target="http://idei.fr/display.php?a=241" TargetMode="External"/><Relationship Id="rId32" Type="http://schemas.openxmlformats.org/officeDocument/2006/relationships/image" Target="media/image6.emf"/><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hyperlink" Target="http://www.aba.com/Issues/Documents/aab2a50b0afe467fa0a5f02e8bc0a028FairvalueoptionApril2006.pdf" TargetMode="External"/><Relationship Id="rId23" Type="http://schemas.openxmlformats.org/officeDocument/2006/relationships/hyperlink" Target="http://idei.fr/display.php?a=21101" TargetMode="External"/><Relationship Id="rId28" Type="http://schemas.openxmlformats.org/officeDocument/2006/relationships/image" Target="media/image2.emf"/><Relationship Id="rId36" Type="http://schemas.openxmlformats.org/officeDocument/2006/relationships/footer" Target="footer2.xml"/><Relationship Id="rId10" Type="http://schemas.openxmlformats.org/officeDocument/2006/relationships/hyperlink" Target="mailto:tjlinsmeier@fasb.org" TargetMode="External"/><Relationship Id="rId19" Type="http://schemas.openxmlformats.org/officeDocument/2006/relationships/hyperlink" Target="http://papers.ssrn.com/sol3/papers.cfm?abstract_id=1807081" TargetMode="External"/><Relationship Id="rId31" Type="http://schemas.openxmlformats.org/officeDocument/2006/relationships/image" Target="media/image5.png"/><Relationship Id="rId44" Type="http://schemas.openxmlformats.org/officeDocument/2006/relationships/image" Target="media/image17.wmf"/><Relationship Id="rId4" Type="http://schemas.microsoft.com/office/2007/relationships/stylesWithEffects" Target="stylesWithEffects.xml"/><Relationship Id="rId9" Type="http://schemas.openxmlformats.org/officeDocument/2006/relationships/hyperlink" Target="mailto:blankbe@stanford.edu" TargetMode="External"/><Relationship Id="rId14" Type="http://schemas.openxmlformats.org/officeDocument/2006/relationships/hyperlink" Target="https://mail.bus.msu.edu/owa/redir.aspx?C=32123dd8acb84149ab99ccbb0cbe7ceb&amp;URL=http%3a%2f%2fwww.fdic.gov%2fbank%2findividual%2ffailed%2fbanklist.html" TargetMode="External"/><Relationship Id="rId22" Type="http://schemas.openxmlformats.org/officeDocument/2006/relationships/hyperlink" Target="http://www.fasb.org/cs/ContentServer?c=Document_C&amp;pagename=FASB/Document_C/DocumentPage&amp;cid=1176156365880" TargetMode="External"/><Relationship Id="rId27" Type="http://schemas.openxmlformats.org/officeDocument/2006/relationships/image" Target="media/image1.wmf"/><Relationship Id="rId30" Type="http://schemas.openxmlformats.org/officeDocument/2006/relationships/image" Target="media/image4.png"/><Relationship Id="rId35" Type="http://schemas.openxmlformats.org/officeDocument/2006/relationships/image" Target="media/image9.emf"/><Relationship Id="rId43" Type="http://schemas.openxmlformats.org/officeDocument/2006/relationships/image" Target="media/image16.emf"/><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shakespe@umich.edu" TargetMode="External"/><Relationship Id="rId17" Type="http://schemas.openxmlformats.org/officeDocument/2006/relationships/hyperlink" Target="http://www.bis.org/publ/bcbs189.pdf" TargetMode="External"/><Relationship Id="rId25" Type="http://schemas.openxmlformats.org/officeDocument/2006/relationships/hyperlink" Target="http://ssrn.com/abstract=1543210" TargetMode="External"/><Relationship Id="rId33" Type="http://schemas.openxmlformats.org/officeDocument/2006/relationships/image" Target="media/image7.emf"/><Relationship Id="rId38" Type="http://schemas.openxmlformats.org/officeDocument/2006/relationships/image" Target="media/image11.emf"/><Relationship Id="rId46" Type="http://schemas.openxmlformats.org/officeDocument/2006/relationships/image" Target="media/image19.emf"/><Relationship Id="rId20" Type="http://schemas.openxmlformats.org/officeDocument/2006/relationships/hyperlink" Target="http://www.cfainstitute.org/about/press/release/Pages/10152008_16447.aspx" TargetMode="External"/><Relationship Id="rId41" Type="http://schemas.openxmlformats.org/officeDocument/2006/relationships/image" Target="media/image14.emf"/></Relationships>
</file>

<file path=word/_rels/footnotes.xml.rels><?xml version="1.0" encoding="UTF-8" standalone="yes"?>
<Relationships xmlns="http://schemas.openxmlformats.org/package/2006/relationships"><Relationship Id="rId2" Type="http://schemas.openxmlformats.org/officeDocument/2006/relationships/hyperlink" Target="http://www.ots.treas.gov/_files/48461.PDF" TargetMode="External"/><Relationship Id="rId1" Type="http://schemas.openxmlformats.org/officeDocument/2006/relationships/hyperlink" Target="http://www.bis.org/publ/bcbs1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5BAA-19EA-491F-AE92-F2F3D145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13329</Words>
  <Characters>74752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Bank Leverage and Credit Risk: What do fair values tell us</vt:lpstr>
    </vt:vector>
  </TitlesOfParts>
  <Company>Eli Broad College of Business</Company>
  <LinksUpToDate>false</LinksUpToDate>
  <CharactersWithSpaces>87906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Leverage and Credit Risk: What do fair values tell us</dc:title>
  <dc:creator>petroni</dc:creator>
  <cp:lastModifiedBy>Petroni, Kathy</cp:lastModifiedBy>
  <cp:revision>3</cp:revision>
  <cp:lastPrinted>2012-11-08T21:27:00Z</cp:lastPrinted>
  <dcterms:created xsi:type="dcterms:W3CDTF">2013-03-19T14:47:00Z</dcterms:created>
  <dcterms:modified xsi:type="dcterms:W3CDTF">2013-03-19T14:47:00Z</dcterms:modified>
</cp:coreProperties>
</file>